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E8B4" w14:textId="0261887D" w:rsidR="004A459B" w:rsidRPr="00931FAB" w:rsidRDefault="000F49FF" w:rsidP="004A459B">
      <w:pPr>
        <w:keepNext/>
        <w:jc w:val="right"/>
        <w:outlineLvl w:val="1"/>
        <w:rPr>
          <w:bCs/>
          <w:lang w:eastAsia="en-US"/>
        </w:rPr>
      </w:pPr>
      <w:r w:rsidRPr="00931FAB">
        <w:rPr>
          <w:bCs/>
          <w:lang w:eastAsia="en-US"/>
        </w:rPr>
        <w:t>1. pielikums</w:t>
      </w:r>
    </w:p>
    <w:p w14:paraId="72BDD54F" w14:textId="77777777" w:rsidR="000F49FF" w:rsidRDefault="00966C8D" w:rsidP="00966C8D">
      <w:pPr>
        <w:jc w:val="right"/>
      </w:pPr>
      <w:r w:rsidRPr="00B20FD0">
        <w:t xml:space="preserve">Ogres novada pašvaldības domes </w:t>
      </w:r>
    </w:p>
    <w:p w14:paraId="1ECE648A" w14:textId="77AD36DA" w:rsidR="00966C8D" w:rsidRPr="00B20FD0" w:rsidRDefault="007049E9" w:rsidP="00966C8D">
      <w:pPr>
        <w:jc w:val="right"/>
      </w:pPr>
      <w:r>
        <w:t>28.07.</w:t>
      </w:r>
      <w:r w:rsidR="00966C8D">
        <w:t>2022</w:t>
      </w:r>
      <w:r w:rsidR="00966C8D" w:rsidRPr="00B20FD0">
        <w:t>.</w:t>
      </w:r>
      <w:r w:rsidR="00966C8D">
        <w:t xml:space="preserve"> </w:t>
      </w:r>
      <w:r w:rsidR="00966C8D" w:rsidRPr="00B20FD0">
        <w:t>sēdes lēmumam</w:t>
      </w:r>
    </w:p>
    <w:p w14:paraId="6EF3D2FA" w14:textId="08316CAD" w:rsidR="00966C8D" w:rsidRDefault="00966C8D" w:rsidP="00966C8D">
      <w:pPr>
        <w:jc w:val="right"/>
      </w:pPr>
      <w:r w:rsidRPr="00B20FD0">
        <w:t>(protokols Nr.</w:t>
      </w:r>
      <w:r w:rsidR="00867FD5">
        <w:t>17</w:t>
      </w:r>
      <w:r w:rsidR="007049E9">
        <w:t>;</w:t>
      </w:r>
      <w:r w:rsidR="00867FD5">
        <w:t>15</w:t>
      </w:r>
      <w:r w:rsidR="007049E9">
        <w:t>.)</w:t>
      </w:r>
    </w:p>
    <w:p w14:paraId="41144729" w14:textId="77777777" w:rsidR="000405B5" w:rsidRPr="00B20FD0" w:rsidRDefault="000405B5" w:rsidP="00966C8D">
      <w:pPr>
        <w:jc w:val="right"/>
      </w:pPr>
    </w:p>
    <w:p w14:paraId="1AF1C0A7" w14:textId="77777777" w:rsidR="00966C8D" w:rsidRPr="00B20FD0" w:rsidRDefault="00966C8D" w:rsidP="00966C8D">
      <w:pPr>
        <w:jc w:val="center"/>
        <w:rPr>
          <w:b/>
          <w:bCs/>
        </w:rPr>
      </w:pPr>
    </w:p>
    <w:p w14:paraId="7524E1E1" w14:textId="2A0C922D" w:rsidR="007049E9" w:rsidRPr="007049E9" w:rsidRDefault="00966C8D" w:rsidP="007049E9">
      <w:pPr>
        <w:jc w:val="center"/>
        <w:rPr>
          <w:b/>
        </w:rPr>
      </w:pPr>
      <w:r>
        <w:rPr>
          <w:b/>
        </w:rPr>
        <w:t>D</w:t>
      </w:r>
      <w:r w:rsidRPr="00B20FD0">
        <w:rPr>
          <w:b/>
        </w:rPr>
        <w:t>arba uzdevums</w:t>
      </w:r>
      <w:r>
        <w:rPr>
          <w:b/>
        </w:rPr>
        <w:t xml:space="preserve"> detālplānojuma </w:t>
      </w:r>
      <w:r w:rsidR="007049E9">
        <w:rPr>
          <w:b/>
        </w:rPr>
        <w:t xml:space="preserve">zemes vienībai </w:t>
      </w:r>
      <w:r w:rsidR="007049E9" w:rsidRPr="007049E9">
        <w:rPr>
          <w:b/>
        </w:rPr>
        <w:t xml:space="preserve">Aroniju ielā 16 un </w:t>
      </w:r>
    </w:p>
    <w:p w14:paraId="477875A6" w14:textId="3F5086B0" w:rsidR="00966C8D" w:rsidRDefault="007049E9" w:rsidP="007049E9">
      <w:pPr>
        <w:jc w:val="center"/>
        <w:rPr>
          <w:b/>
        </w:rPr>
      </w:pPr>
      <w:r w:rsidRPr="007049E9">
        <w:rPr>
          <w:b/>
        </w:rPr>
        <w:t>Ābeļu ielā 1A, Ogresgalā, Ogresgala pag., Ogres nov</w:t>
      </w:r>
      <w:r>
        <w:rPr>
          <w:b/>
        </w:rPr>
        <w:t>.</w:t>
      </w:r>
      <w:r w:rsidR="00966C8D">
        <w:rPr>
          <w:b/>
        </w:rPr>
        <w:t>, izstrādei</w:t>
      </w:r>
    </w:p>
    <w:p w14:paraId="734636DF" w14:textId="77777777" w:rsidR="00966C8D" w:rsidRDefault="00966C8D" w:rsidP="00966C8D">
      <w:pPr>
        <w:jc w:val="center"/>
        <w:rPr>
          <w:b/>
        </w:rPr>
      </w:pPr>
    </w:p>
    <w:p w14:paraId="67B3F37C" w14:textId="77777777" w:rsidR="00966C8D" w:rsidRPr="00793AB9" w:rsidRDefault="00966C8D" w:rsidP="00966C8D">
      <w:pPr>
        <w:ind w:left="1260"/>
        <w:jc w:val="right"/>
        <w:rPr>
          <w:i/>
          <w:iCs/>
        </w:rPr>
      </w:pPr>
      <w:r w:rsidRPr="00793AB9">
        <w:rPr>
          <w:i/>
        </w:rPr>
        <w:t>Izdots saskaņā ar Ministru kabineta 2014.gada 14.jūlija noteikumu Nr.628 “Noteikumi par pašvaldību teritorijas attīstības plānošanas dokumentiem</w:t>
      </w:r>
      <w:r w:rsidRPr="00793AB9">
        <w:rPr>
          <w:i/>
          <w:iCs/>
        </w:rPr>
        <w:t xml:space="preserve">” </w:t>
      </w:r>
      <w:r>
        <w:rPr>
          <w:i/>
          <w:iCs/>
        </w:rPr>
        <w:t>98</w:t>
      </w:r>
      <w:r w:rsidRPr="00793AB9">
        <w:rPr>
          <w:i/>
          <w:iCs/>
        </w:rPr>
        <w:t>.punktu</w:t>
      </w:r>
    </w:p>
    <w:p w14:paraId="3EF93636" w14:textId="77777777" w:rsidR="00290CA2" w:rsidRDefault="00290CA2" w:rsidP="00290CA2">
      <w:pPr>
        <w:jc w:val="center"/>
        <w:rPr>
          <w:b/>
          <w:bCs/>
        </w:rPr>
      </w:pPr>
    </w:p>
    <w:p w14:paraId="4479BF27" w14:textId="77777777" w:rsidR="00290CA2" w:rsidRDefault="00290CA2" w:rsidP="00290CA2">
      <w:pPr>
        <w:jc w:val="center"/>
        <w:rPr>
          <w:b/>
          <w:bCs/>
        </w:rPr>
      </w:pPr>
    </w:p>
    <w:p w14:paraId="297D2E2F" w14:textId="7C8595C1" w:rsidR="00290CA2" w:rsidRPr="00340DF0" w:rsidRDefault="00290CA2" w:rsidP="00290CA2">
      <w:pPr>
        <w:spacing w:after="120"/>
        <w:jc w:val="center"/>
        <w:rPr>
          <w:b/>
          <w:bCs/>
        </w:rPr>
      </w:pPr>
      <w:r w:rsidRPr="00340DF0">
        <w:rPr>
          <w:b/>
          <w:bCs/>
        </w:rPr>
        <w:t>Darba uzdevuma saturs</w:t>
      </w:r>
    </w:p>
    <w:p w14:paraId="3386EB71" w14:textId="626D9CC7" w:rsidR="00290CA2" w:rsidRPr="00340DF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>Detālplānojuma izstrādes mērķis,</w:t>
      </w:r>
      <w:r w:rsidR="00B65815" w:rsidRPr="00340DF0">
        <w:rPr>
          <w:b/>
          <w:bCs/>
        </w:rPr>
        <w:t xml:space="preserve"> </w:t>
      </w:r>
      <w:r w:rsidRPr="00340DF0">
        <w:rPr>
          <w:b/>
          <w:bCs/>
        </w:rPr>
        <w:t xml:space="preserve">pamatojums un uzdevumi; </w:t>
      </w:r>
    </w:p>
    <w:p w14:paraId="5A0323D8" w14:textId="77777777" w:rsidR="00290CA2" w:rsidRPr="00B20FD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 xml:space="preserve">Institūciju saraksts, kuru informācija izmantojama detālplānojuma izstrādei  un </w:t>
      </w:r>
      <w:r w:rsidRPr="00340DF0">
        <w:rPr>
          <w:b/>
        </w:rPr>
        <w:t>institūcijas, no kurām pieprasāmi</w:t>
      </w:r>
      <w:r w:rsidRPr="00B20FD0">
        <w:rPr>
          <w:b/>
        </w:rPr>
        <w:t xml:space="preserve"> </w:t>
      </w:r>
      <w:r w:rsidRPr="00B20FD0">
        <w:rPr>
          <w:b/>
          <w:bCs/>
        </w:rPr>
        <w:t>atzinumi;</w:t>
      </w:r>
    </w:p>
    <w:p w14:paraId="4582EE7C" w14:textId="3C47C43A" w:rsidR="00290CA2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B20FD0">
        <w:rPr>
          <w:b/>
          <w:bCs/>
        </w:rPr>
        <w:t>Plānotie sabiedrības līdzdalības veidi un pasākumi</w:t>
      </w:r>
      <w:r w:rsidR="00B65815">
        <w:rPr>
          <w:b/>
          <w:bCs/>
        </w:rPr>
        <w:t>;</w:t>
      </w:r>
    </w:p>
    <w:p w14:paraId="122A2366" w14:textId="7BE8683F" w:rsidR="00B65815" w:rsidRPr="00B65815" w:rsidRDefault="00B65815" w:rsidP="00B65815">
      <w:pPr>
        <w:numPr>
          <w:ilvl w:val="0"/>
          <w:numId w:val="7"/>
        </w:numPr>
        <w:ind w:hanging="540"/>
        <w:rPr>
          <w:b/>
          <w:bCs/>
        </w:rPr>
      </w:pPr>
      <w:r>
        <w:rPr>
          <w:b/>
          <w:bCs/>
        </w:rPr>
        <w:t>Detālplānojuma izstrādes teritorija.</w:t>
      </w:r>
    </w:p>
    <w:p w14:paraId="29194346" w14:textId="77777777" w:rsidR="00290CA2" w:rsidRPr="00B20FD0" w:rsidRDefault="00290CA2" w:rsidP="00290CA2">
      <w:pPr>
        <w:ind w:left="720"/>
        <w:rPr>
          <w:b/>
          <w:bCs/>
        </w:rPr>
      </w:pPr>
    </w:p>
    <w:p w14:paraId="6ABDA707" w14:textId="6EB7A08D" w:rsidR="004A459B" w:rsidRPr="00D24D88" w:rsidRDefault="00904A80" w:rsidP="004A1241">
      <w:pPr>
        <w:pStyle w:val="Virsraksts2"/>
        <w:spacing w:before="0" w:after="60" w:line="276" w:lineRule="auto"/>
        <w:rPr>
          <w:rFonts w:ascii="Times New Roman" w:hAnsi="Times New Roman"/>
          <w:color w:val="auto"/>
          <w:sz w:val="24"/>
          <w:szCs w:val="24"/>
        </w:rPr>
      </w:pPr>
      <w:r w:rsidRPr="00D24D88">
        <w:rPr>
          <w:rFonts w:ascii="Times New Roman" w:hAnsi="Times New Roman"/>
          <w:color w:val="auto"/>
          <w:sz w:val="24"/>
          <w:szCs w:val="24"/>
        </w:rPr>
        <w:t>1.</w:t>
      </w:r>
      <w:r w:rsidR="00290CA2">
        <w:rPr>
          <w:rFonts w:ascii="Times New Roman" w:hAnsi="Times New Roman"/>
          <w:color w:val="auto"/>
          <w:sz w:val="24"/>
          <w:szCs w:val="24"/>
        </w:rPr>
        <w:t>1.</w:t>
      </w:r>
      <w:r w:rsidRPr="00D24D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 xml:space="preserve">Detālplānojuma izstrādes </w:t>
      </w:r>
      <w:r w:rsidR="00F01F0F" w:rsidRPr="00D24D88">
        <w:rPr>
          <w:rFonts w:ascii="Times New Roman" w:hAnsi="Times New Roman"/>
          <w:color w:val="auto"/>
          <w:sz w:val="24"/>
          <w:szCs w:val="24"/>
        </w:rPr>
        <w:t xml:space="preserve">mērķis un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>pamatojums</w:t>
      </w:r>
    </w:p>
    <w:p w14:paraId="4FF3D3D1" w14:textId="604E1F24" w:rsidR="00290CA2" w:rsidRDefault="00290CA2" w:rsidP="004A1241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Detālplānojums tiek izstrādāts ar mērķi sadalīt zemes vienību</w:t>
      </w:r>
      <w:r w:rsidR="007049E9" w:rsidRPr="007049E9">
        <w:t xml:space="preserve"> </w:t>
      </w:r>
      <w:bookmarkStart w:id="0" w:name="_Hlk108427680"/>
      <w:r w:rsidR="007049E9" w:rsidRPr="007049E9">
        <w:rPr>
          <w:rFonts w:ascii="Times New Roman" w:hAnsi="Times New Roman"/>
          <w:sz w:val="24"/>
          <w:szCs w:val="24"/>
        </w:rPr>
        <w:t>Aroniju ielā 16, Ogresgalā, Ogresgala pag., Ogres nov., kadastra apzīmējums 7480 004 0458</w:t>
      </w:r>
      <w:r w:rsidR="00FF4E61" w:rsidRPr="00AD14ED">
        <w:rPr>
          <w:rFonts w:ascii="Times New Roman" w:hAnsi="Times New Roman"/>
          <w:sz w:val="24"/>
          <w:szCs w:val="24"/>
        </w:rPr>
        <w:t>,</w:t>
      </w:r>
      <w:r w:rsidR="007049E9" w:rsidRPr="007049E9">
        <w:rPr>
          <w:rFonts w:ascii="Times New Roman" w:hAnsi="Times New Roman"/>
          <w:sz w:val="24"/>
          <w:szCs w:val="24"/>
        </w:rPr>
        <w:t xml:space="preserve"> un zemes vienīb</w:t>
      </w:r>
      <w:r w:rsidR="007049E9">
        <w:rPr>
          <w:rFonts w:ascii="Times New Roman" w:hAnsi="Times New Roman"/>
          <w:sz w:val="24"/>
          <w:szCs w:val="24"/>
        </w:rPr>
        <w:t>u</w:t>
      </w:r>
      <w:r w:rsidR="007049E9" w:rsidRPr="007049E9">
        <w:rPr>
          <w:rFonts w:ascii="Times New Roman" w:hAnsi="Times New Roman"/>
          <w:sz w:val="24"/>
          <w:szCs w:val="24"/>
        </w:rPr>
        <w:t xml:space="preserve"> Ābeļu ielā 1A, Ogresgalā, Ogresgala pag., Ogres nov., kadastra apzīmējums 7480 004 0181</w:t>
      </w:r>
      <w:bookmarkEnd w:id="0"/>
      <w:r w:rsidR="007049E9">
        <w:rPr>
          <w:rFonts w:ascii="Times New Roman" w:hAnsi="Times New Roman"/>
          <w:sz w:val="24"/>
          <w:szCs w:val="24"/>
        </w:rPr>
        <w:t xml:space="preserve">, (turpmāk – Zemes vienības) </w:t>
      </w:r>
      <w:r>
        <w:rPr>
          <w:rFonts w:ascii="Times New Roman" w:hAnsi="Times New Roman"/>
          <w:sz w:val="24"/>
          <w:szCs w:val="24"/>
        </w:rPr>
        <w:t xml:space="preserve">savrupmāju apbūves vajadzībām, </w:t>
      </w:r>
      <w:r w:rsidR="00CA7C4D">
        <w:rPr>
          <w:rFonts w:ascii="Times New Roman" w:hAnsi="Times New Roman"/>
          <w:sz w:val="24"/>
          <w:szCs w:val="24"/>
        </w:rPr>
        <w:t xml:space="preserve">transporta infrastruktūras </w:t>
      </w:r>
      <w:r>
        <w:rPr>
          <w:rFonts w:ascii="Times New Roman" w:hAnsi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/>
          <w:sz w:val="24"/>
          <w:szCs w:val="24"/>
        </w:rPr>
        <w:t>inženierapgādes</w:t>
      </w:r>
      <w:proofErr w:type="spellEnd"/>
      <w:r>
        <w:rPr>
          <w:rFonts w:ascii="Times New Roman" w:hAnsi="Times New Roman"/>
          <w:sz w:val="24"/>
          <w:szCs w:val="24"/>
        </w:rPr>
        <w:t xml:space="preserve"> nodrošināšanai. </w:t>
      </w:r>
    </w:p>
    <w:p w14:paraId="6587F1FF" w14:textId="783F4602" w:rsidR="00290CA2" w:rsidRPr="001617E6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617E6">
        <w:rPr>
          <w:rFonts w:ascii="Times New Roman" w:hAnsi="Times New Roman"/>
          <w:b/>
          <w:bCs/>
          <w:sz w:val="24"/>
          <w:szCs w:val="24"/>
        </w:rPr>
        <w:t>1.2. Uzdevumi</w:t>
      </w:r>
    </w:p>
    <w:p w14:paraId="7DFEC786" w14:textId="77777777" w:rsidR="001617E6" w:rsidRPr="001617E6" w:rsidRDefault="001617E6" w:rsidP="004A1241">
      <w:pPr>
        <w:pStyle w:val="Sarakstarindkopa"/>
        <w:numPr>
          <w:ilvl w:val="0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B34D479" w14:textId="77777777" w:rsidR="001617E6" w:rsidRPr="001617E6" w:rsidRDefault="001617E6" w:rsidP="004A1241">
      <w:pPr>
        <w:pStyle w:val="Sarakstarindkopa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83FA02F" w14:textId="77777777" w:rsidR="001617E6" w:rsidRPr="001617E6" w:rsidRDefault="001617E6" w:rsidP="004A1241">
      <w:pPr>
        <w:pStyle w:val="Sarakstarindkopa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78847BE" w14:textId="0B7B8DE1" w:rsidR="001617E6" w:rsidRDefault="001617E6" w:rsidP="004A1241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Detalizēt</w:t>
      </w:r>
      <w:r w:rsidR="007049E9">
        <w:t xml:space="preserve"> Ogres novada p</w:t>
      </w:r>
      <w:r w:rsidR="007049E9" w:rsidRPr="007049E9">
        <w:t>ašvaldības 2012.gada 21.jūnija saistošo noteikumu Nr.16/2012 “Ogres novada teritorijas izmantošanas un apbūves noteikumi”</w:t>
      </w:r>
      <w:r w:rsidR="007049E9">
        <w:rPr>
          <w:rStyle w:val="Vresatsauce"/>
        </w:rPr>
        <w:footnoteReference w:id="1"/>
      </w:r>
      <w:r w:rsidR="007049E9" w:rsidRPr="007049E9">
        <w:t xml:space="preserve">  (turpmāk – SN16/2012)</w:t>
      </w:r>
      <w:r w:rsidR="007049E9">
        <w:t xml:space="preserve"> </w:t>
      </w:r>
      <w:r w:rsidR="00DA30AA">
        <w:rPr>
          <w:bCs/>
        </w:rPr>
        <w:t xml:space="preserve">noteiktos </w:t>
      </w:r>
      <w:r>
        <w:t>teritorijas izmantošanas un apbūves noteikumus</w:t>
      </w:r>
      <w:r w:rsidR="00DA30AA">
        <w:t xml:space="preserve">. </w:t>
      </w:r>
    </w:p>
    <w:p w14:paraId="22352907" w14:textId="23517AFA" w:rsidR="001617E6" w:rsidRDefault="001617E6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137FAC">
        <w:t xml:space="preserve">Sadalīt </w:t>
      </w:r>
      <w:r>
        <w:t>Z</w:t>
      </w:r>
      <w:r w:rsidRPr="00137FAC">
        <w:t>emes vienīb</w:t>
      </w:r>
      <w:r w:rsidR="007049E9">
        <w:t>as</w:t>
      </w:r>
      <w:r>
        <w:t xml:space="preserve"> atbilstoši </w:t>
      </w:r>
      <w:r w:rsidR="007049E9">
        <w:t>SN16/2012</w:t>
      </w:r>
      <w:r w:rsidR="00DA30AA">
        <w:t xml:space="preserve"> </w:t>
      </w:r>
      <w:r>
        <w:rPr>
          <w:bCs/>
        </w:rPr>
        <w:t xml:space="preserve">prasībām. </w:t>
      </w:r>
      <w:r w:rsidRPr="00137FAC">
        <w:t>Nor</w:t>
      </w:r>
      <w:r>
        <w:t>ā</w:t>
      </w:r>
      <w:r w:rsidRPr="00137FAC">
        <w:t>dīt galveno ēku</w:t>
      </w:r>
      <w:r>
        <w:t xml:space="preserve"> rekomendējamo</w:t>
      </w:r>
      <w:r w:rsidRPr="00137FAC">
        <w:t xml:space="preserve"> izvietojumu projektētajās zemes vienībās</w:t>
      </w:r>
      <w:r>
        <w:t>.</w:t>
      </w:r>
    </w:p>
    <w:p w14:paraId="44B3E633" w14:textId="34DB0710" w:rsidR="00DA30AA" w:rsidRDefault="00DA30AA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D24D88">
        <w:t>Izstrādāt transporta, gājēju un velo infrastruktūras risinājumus, nodrošinot ērtu sasaisti ar esošo transporta infrastruktūru, izstrādāt perspektīvo transporta organizācijas shēmu, gājēju un veloceliņu shēmas, ielu šķērsprofilus</w:t>
      </w:r>
      <w:r>
        <w:t xml:space="preserve">. </w:t>
      </w:r>
    </w:p>
    <w:p w14:paraId="6C73C5AF" w14:textId="7ABD7983" w:rsidR="001617E6" w:rsidRPr="00137FAC" w:rsidRDefault="001617E6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137FAC">
        <w:t>Nodrošināt piekļūšanu projektētajām zemes vienībām, nodibinot iel</w:t>
      </w:r>
      <w:r>
        <w:t>as</w:t>
      </w:r>
      <w:r w:rsidRPr="00137FAC">
        <w:t xml:space="preserve"> sarkanās līnijas un dodot to pagriezienu punktu koordinātas. Izstrādāt projektēto ielu šķērsprofilus, paredzot inženierkomunikāciju izvietojumu (t.sk. perspektīvo). Iel</w:t>
      </w:r>
      <w:r>
        <w:t xml:space="preserve">u </w:t>
      </w:r>
      <w:r w:rsidRPr="00137FAC">
        <w:t xml:space="preserve">paredzēt kā atsevišķu zemes vienību.  </w:t>
      </w:r>
    </w:p>
    <w:p w14:paraId="3073CA1A" w14:textId="0D812136" w:rsidR="001617E6" w:rsidRPr="00137FAC" w:rsidRDefault="00DA30AA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>
        <w:t xml:space="preserve">Grafiskajā daļā attēlot </w:t>
      </w:r>
      <w:r w:rsidR="001617E6" w:rsidRPr="00137FAC">
        <w:t xml:space="preserve">apgrūtinājumus un zemes vienību izmantošanas ierobežojumus – esošās un projektētās inženierkomunikācijas un to aizsargjoslas, ielu aizsargjoslas un </w:t>
      </w:r>
      <w:proofErr w:type="spellStart"/>
      <w:r w:rsidR="001617E6" w:rsidRPr="00137FAC">
        <w:t>būvlaides</w:t>
      </w:r>
      <w:proofErr w:type="spellEnd"/>
      <w:r w:rsidR="001617E6" w:rsidRPr="00137FAC">
        <w:t>.</w:t>
      </w:r>
    </w:p>
    <w:p w14:paraId="651D2747" w14:textId="618897C7" w:rsidR="001617E6" w:rsidRDefault="001617E6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137FAC">
        <w:lastRenderedPageBreak/>
        <w:t xml:space="preserve">Lai novērstu nelabvēlīgas sanitāri-epidemioloģiskās situācijas un vides piesārņošanas </w:t>
      </w:r>
      <w:r w:rsidRPr="00E87F1D">
        <w:t xml:space="preserve">iespējas, paredzēt </w:t>
      </w:r>
      <w:r w:rsidRPr="00B65815">
        <w:t>ūdensapgādes un kanalizācijas sistēmas izveidi saskaņā ar tehnisko noteikumu prasībām.</w:t>
      </w:r>
    </w:p>
    <w:p w14:paraId="4311A3AE" w14:textId="366BAC87" w:rsidR="00C05D2D" w:rsidRPr="00137FAC" w:rsidRDefault="00C05D2D" w:rsidP="00F839ED">
      <w:pPr>
        <w:pStyle w:val="Sarakstarindkopa"/>
        <w:numPr>
          <w:ilvl w:val="2"/>
          <w:numId w:val="9"/>
        </w:numPr>
        <w:spacing w:after="60" w:line="276" w:lineRule="auto"/>
        <w:contextualSpacing w:val="0"/>
        <w:jc w:val="both"/>
      </w:pPr>
      <w:r w:rsidRPr="0059695C">
        <w:t>Izstrādāt meliorācijas sistēmas būvniecības vai pārkārtošanas priekšlikumu, atbilstoši meliorācijas sistēmu projektēšanā</w:t>
      </w:r>
      <w:r w:rsidRPr="00C05D2D">
        <w:t xml:space="preserve"> sertificēta speciālista rekomendācijām.</w:t>
      </w:r>
    </w:p>
    <w:p w14:paraId="533B3F52" w14:textId="77777777" w:rsidR="00C05D2D" w:rsidRDefault="00C05D2D" w:rsidP="004A1241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Sniegt plānoto zemes vienību adresācijas priekšlikumu.</w:t>
      </w:r>
    </w:p>
    <w:p w14:paraId="48A52775" w14:textId="77777777" w:rsidR="00C05D2D" w:rsidRDefault="00C05D2D" w:rsidP="004A1241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Grafiskā daļa jāizstrādā mērogā 1:500.</w:t>
      </w:r>
    </w:p>
    <w:p w14:paraId="032F1F4D" w14:textId="709DB271" w:rsidR="00C05D2D" w:rsidRPr="00137FAC" w:rsidRDefault="00C05D2D" w:rsidP="00CA7C4D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Detālplānojums sagatavojams atsevišķos sējumos izdrukas formā 3 eksemplāros un elektroniskā veidā (</w:t>
      </w:r>
      <w:proofErr w:type="spellStart"/>
      <w:r w:rsidRPr="00C05D2D">
        <w:rPr>
          <w:i/>
          <w:iCs/>
        </w:rPr>
        <w:t>pdf</w:t>
      </w:r>
      <w:proofErr w:type="spellEnd"/>
      <w:r>
        <w:t xml:space="preserve"> vai </w:t>
      </w:r>
      <w:proofErr w:type="spellStart"/>
      <w:r w:rsidRPr="00C05D2D">
        <w:rPr>
          <w:i/>
          <w:iCs/>
        </w:rPr>
        <w:t>word</w:t>
      </w:r>
      <w:proofErr w:type="spellEnd"/>
      <w:r w:rsidRPr="00C05D2D">
        <w:rPr>
          <w:i/>
          <w:iCs/>
        </w:rPr>
        <w:t xml:space="preserve"> </w:t>
      </w:r>
      <w:r>
        <w:t xml:space="preserve">formātā, grafisko daļu – </w:t>
      </w:r>
      <w:proofErr w:type="spellStart"/>
      <w:r w:rsidRPr="00C05D2D">
        <w:rPr>
          <w:i/>
          <w:iCs/>
        </w:rPr>
        <w:t>pdf</w:t>
      </w:r>
      <w:proofErr w:type="spellEnd"/>
      <w:r>
        <w:t xml:space="preserve"> un </w:t>
      </w:r>
      <w:proofErr w:type="spellStart"/>
      <w:r w:rsidRPr="00C05D2D">
        <w:rPr>
          <w:i/>
          <w:iCs/>
        </w:rPr>
        <w:t>shp</w:t>
      </w:r>
      <w:proofErr w:type="spellEnd"/>
      <w:r w:rsidRPr="00C05D2D">
        <w:rPr>
          <w:i/>
          <w:iCs/>
        </w:rPr>
        <w:t xml:space="preserve">, </w:t>
      </w:r>
      <w:proofErr w:type="spellStart"/>
      <w:r w:rsidRPr="00C05D2D">
        <w:rPr>
          <w:i/>
          <w:iCs/>
        </w:rPr>
        <w:t>dwg</w:t>
      </w:r>
      <w:proofErr w:type="spellEnd"/>
      <w:r w:rsidRPr="00C05D2D">
        <w:rPr>
          <w:i/>
          <w:iCs/>
        </w:rPr>
        <w:t xml:space="preserve">, </w:t>
      </w:r>
      <w:r>
        <w:t xml:space="preserve">vai </w:t>
      </w:r>
      <w:proofErr w:type="spellStart"/>
      <w:r w:rsidRPr="00C05D2D">
        <w:rPr>
          <w:i/>
          <w:iCs/>
        </w:rPr>
        <w:t>dgn</w:t>
      </w:r>
      <w:proofErr w:type="spellEnd"/>
      <w:r>
        <w:t xml:space="preserve"> formātā).</w:t>
      </w:r>
    </w:p>
    <w:p w14:paraId="2E6DC08D" w14:textId="55445670" w:rsidR="00290CA2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36CD48" w14:textId="5BE142B9" w:rsidR="00290CA2" w:rsidRPr="00290CA2" w:rsidRDefault="00B65815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290CA2" w:rsidRPr="00290CA2">
        <w:rPr>
          <w:rFonts w:ascii="Times New Roman" w:hAnsi="Times New Roman"/>
          <w:b/>
          <w:bCs/>
          <w:sz w:val="24"/>
          <w:szCs w:val="24"/>
        </w:rPr>
        <w:t>. Institūciju saraksts, kuru informācija izmantojama detālplānojuma izstrādei  un institūcijas, no kurām pieprasāmi atzinumi</w:t>
      </w:r>
    </w:p>
    <w:p w14:paraId="769FAADD" w14:textId="77777777" w:rsidR="00F839ED" w:rsidRPr="00F839ED" w:rsidRDefault="00F839ED" w:rsidP="00F839ED">
      <w:pPr>
        <w:pStyle w:val="Sarakstarindkopa"/>
        <w:numPr>
          <w:ilvl w:val="0"/>
          <w:numId w:val="11"/>
        </w:numPr>
        <w:spacing w:before="120"/>
        <w:contextualSpacing w:val="0"/>
        <w:jc w:val="both"/>
        <w:rPr>
          <w:vanish/>
        </w:rPr>
      </w:pPr>
    </w:p>
    <w:p w14:paraId="28FCFD95" w14:textId="77777777" w:rsidR="00F839ED" w:rsidRPr="00F839ED" w:rsidRDefault="00F839ED" w:rsidP="00F839ED">
      <w:pPr>
        <w:pStyle w:val="Sarakstarindkopa"/>
        <w:numPr>
          <w:ilvl w:val="0"/>
          <w:numId w:val="11"/>
        </w:numPr>
        <w:spacing w:before="120"/>
        <w:contextualSpacing w:val="0"/>
        <w:jc w:val="both"/>
        <w:rPr>
          <w:vanish/>
        </w:rPr>
      </w:pPr>
    </w:p>
    <w:p w14:paraId="59FECC5A" w14:textId="666AC463" w:rsidR="00F839ED" w:rsidRPr="002F6AC1" w:rsidRDefault="00F839ED" w:rsidP="00F839ED">
      <w:pPr>
        <w:numPr>
          <w:ilvl w:val="1"/>
          <w:numId w:val="11"/>
        </w:numPr>
        <w:tabs>
          <w:tab w:val="clear" w:pos="720"/>
        </w:tabs>
        <w:spacing w:before="120"/>
        <w:jc w:val="both"/>
      </w:pPr>
      <w:r w:rsidRPr="002F6AC1">
        <w:t>Valsts vides dienest</w:t>
      </w:r>
      <w:r>
        <w:t>s</w:t>
      </w:r>
      <w:r w:rsidRPr="002F6AC1">
        <w:t xml:space="preserve"> Lielrīgas reģionālā vides pārvalde, </w:t>
      </w:r>
      <w:hyperlink r:id="rId8" w:history="1">
        <w:r w:rsidRPr="00871089">
          <w:rPr>
            <w:rStyle w:val="Hipersaite"/>
          </w:rPr>
          <w:t>lielriga@vvd.gov.lv</w:t>
        </w:r>
      </w:hyperlink>
      <w:r w:rsidRPr="002F6AC1">
        <w:t>;</w:t>
      </w:r>
    </w:p>
    <w:p w14:paraId="1EF28EEF" w14:textId="77777777" w:rsidR="00F839ED" w:rsidRDefault="00F839ED" w:rsidP="00F839ED">
      <w:pPr>
        <w:numPr>
          <w:ilvl w:val="1"/>
          <w:numId w:val="11"/>
        </w:numPr>
        <w:tabs>
          <w:tab w:val="clear" w:pos="720"/>
          <w:tab w:val="num" w:pos="851"/>
        </w:tabs>
        <w:spacing w:before="120"/>
        <w:ind w:left="714" w:hanging="357"/>
        <w:jc w:val="both"/>
      </w:pPr>
      <w:r w:rsidRPr="00A6032F">
        <w:t>Dabas aizsardzības pārvalde</w:t>
      </w:r>
      <w:r>
        <w:t xml:space="preserve">, </w:t>
      </w:r>
      <w:hyperlink r:id="rId9" w:history="1">
        <w:r w:rsidRPr="00871089">
          <w:rPr>
            <w:rStyle w:val="Hipersaite"/>
          </w:rPr>
          <w:t>pieriga@daba.gov.lv</w:t>
        </w:r>
      </w:hyperlink>
      <w:r>
        <w:t xml:space="preserve">; </w:t>
      </w:r>
    </w:p>
    <w:p w14:paraId="5A62326D" w14:textId="77777777" w:rsidR="00F839ED" w:rsidRPr="002F6AC1" w:rsidRDefault="00F839ED" w:rsidP="00F839ED">
      <w:pPr>
        <w:numPr>
          <w:ilvl w:val="1"/>
          <w:numId w:val="11"/>
        </w:numPr>
        <w:tabs>
          <w:tab w:val="clear" w:pos="720"/>
          <w:tab w:val="num" w:pos="851"/>
        </w:tabs>
        <w:spacing w:before="120"/>
        <w:ind w:left="714" w:hanging="357"/>
        <w:jc w:val="both"/>
      </w:pPr>
      <w:r w:rsidRPr="002F6AC1">
        <w:t>Valsts ugunsdzēsības un glābšanas dienest</w:t>
      </w:r>
      <w:r>
        <w:t>s,</w:t>
      </w:r>
      <w:r w:rsidRPr="002F6AC1">
        <w:t xml:space="preserve"> Ogres daļa, </w:t>
      </w:r>
      <w:hyperlink r:id="rId10" w:history="1">
        <w:r w:rsidRPr="00871089">
          <w:rPr>
            <w:rStyle w:val="Hipersaite"/>
          </w:rPr>
          <w:t>ogre@vugd.gov.lv</w:t>
        </w:r>
      </w:hyperlink>
      <w:r w:rsidRPr="002F6AC1">
        <w:t>;</w:t>
      </w:r>
    </w:p>
    <w:p w14:paraId="04356401" w14:textId="77777777" w:rsidR="00F839ED" w:rsidRPr="002F6AC1" w:rsidRDefault="00F839ED" w:rsidP="00F839ED">
      <w:pPr>
        <w:numPr>
          <w:ilvl w:val="1"/>
          <w:numId w:val="11"/>
        </w:numPr>
        <w:tabs>
          <w:tab w:val="clear" w:pos="720"/>
          <w:tab w:val="num" w:pos="851"/>
        </w:tabs>
        <w:spacing w:before="120"/>
        <w:ind w:left="714" w:hanging="357"/>
        <w:jc w:val="both"/>
      </w:pPr>
      <w:r w:rsidRPr="002F6AC1">
        <w:t>V</w:t>
      </w:r>
      <w:r>
        <w:t>SIA</w:t>
      </w:r>
      <w:r w:rsidRPr="002F6AC1">
        <w:t xml:space="preserve"> “Latvijas valsts ceļi”</w:t>
      </w:r>
      <w:r>
        <w:t>,</w:t>
      </w:r>
      <w:r w:rsidRPr="002F6AC1">
        <w:t xml:space="preserve"> Ogres </w:t>
      </w:r>
      <w:r>
        <w:t>no</w:t>
      </w:r>
      <w:r w:rsidRPr="002F6AC1">
        <w:t xml:space="preserve">daļa, </w:t>
      </w:r>
      <w:hyperlink r:id="rId11" w:history="1">
        <w:r w:rsidRPr="00871089">
          <w:rPr>
            <w:rStyle w:val="Hipersaite"/>
          </w:rPr>
          <w:t>regnars.baumanis@lvceli.lv</w:t>
        </w:r>
      </w:hyperlink>
      <w:r w:rsidRPr="002F6AC1">
        <w:t>;</w:t>
      </w:r>
    </w:p>
    <w:p w14:paraId="0F4A3D21" w14:textId="77777777" w:rsidR="00F839ED" w:rsidRPr="002F6AC1" w:rsidRDefault="00F839ED" w:rsidP="00F839ED">
      <w:pPr>
        <w:numPr>
          <w:ilvl w:val="1"/>
          <w:numId w:val="11"/>
        </w:numPr>
        <w:tabs>
          <w:tab w:val="clear" w:pos="720"/>
          <w:tab w:val="num" w:pos="851"/>
          <w:tab w:val="left" w:pos="900"/>
        </w:tabs>
        <w:spacing w:before="120"/>
        <w:ind w:left="714" w:hanging="357"/>
      </w:pPr>
      <w:r w:rsidRPr="002F6AC1">
        <w:t>VSIA “Zemkopības ministrijas nekustamie īpašumi”</w:t>
      </w:r>
      <w:r>
        <w:t>,</w:t>
      </w:r>
      <w:r w:rsidRPr="002F6AC1">
        <w:t xml:space="preserve"> Ogres sektors, </w:t>
      </w:r>
      <w:hyperlink r:id="rId12" w:history="1">
        <w:r w:rsidRPr="00871089">
          <w:rPr>
            <w:rStyle w:val="Hipersaite"/>
          </w:rPr>
          <w:t>zemgale@zmni.lv</w:t>
        </w:r>
      </w:hyperlink>
      <w:r>
        <w:t xml:space="preserve">, </w:t>
      </w:r>
      <w:hyperlink r:id="rId13" w:history="1">
        <w:r w:rsidRPr="00871089">
          <w:rPr>
            <w:rStyle w:val="Hipersaite"/>
          </w:rPr>
          <w:t>andis.didrihsons@zmni.lv</w:t>
        </w:r>
      </w:hyperlink>
      <w:r>
        <w:t xml:space="preserve">; </w:t>
      </w:r>
      <w:r w:rsidRPr="00B42F32" w:rsidDel="00B42F32">
        <w:t xml:space="preserve"> </w:t>
      </w:r>
      <w:r>
        <w:t xml:space="preserve"> </w:t>
      </w:r>
    </w:p>
    <w:p w14:paraId="2E17C865" w14:textId="77777777" w:rsidR="00F839ED" w:rsidRPr="002F6AC1" w:rsidRDefault="00F839ED" w:rsidP="00F839ED">
      <w:pPr>
        <w:numPr>
          <w:ilvl w:val="1"/>
          <w:numId w:val="11"/>
        </w:numPr>
        <w:tabs>
          <w:tab w:val="clear" w:pos="720"/>
          <w:tab w:val="num" w:pos="851"/>
          <w:tab w:val="left" w:pos="900"/>
        </w:tabs>
        <w:spacing w:before="120"/>
        <w:ind w:left="714" w:hanging="357"/>
        <w:jc w:val="both"/>
      </w:pPr>
      <w:r w:rsidRPr="002F6AC1">
        <w:t xml:space="preserve">AS “Sadales tīkls” e-vidē </w:t>
      </w:r>
      <w:hyperlink r:id="rId14" w:history="1">
        <w:r w:rsidRPr="002F6AC1">
          <w:rPr>
            <w:rStyle w:val="Hipersaite"/>
          </w:rPr>
          <w:t>https://sadalestikls.lv/lv/projektu-darbu-saskanosana</w:t>
        </w:r>
      </w:hyperlink>
      <w:r w:rsidRPr="002F6AC1">
        <w:t xml:space="preserve">; </w:t>
      </w:r>
    </w:p>
    <w:p w14:paraId="616FA760" w14:textId="77777777" w:rsidR="00F839ED" w:rsidRPr="002F6AC1" w:rsidRDefault="00F839ED" w:rsidP="00F839ED">
      <w:pPr>
        <w:numPr>
          <w:ilvl w:val="1"/>
          <w:numId w:val="11"/>
        </w:numPr>
        <w:tabs>
          <w:tab w:val="clear" w:pos="720"/>
          <w:tab w:val="num" w:pos="851"/>
          <w:tab w:val="left" w:pos="900"/>
        </w:tabs>
        <w:spacing w:before="120"/>
        <w:ind w:left="714" w:hanging="357"/>
        <w:jc w:val="both"/>
      </w:pPr>
      <w:r w:rsidRPr="002F6AC1">
        <w:t>AS “</w:t>
      </w:r>
      <w:proofErr w:type="spellStart"/>
      <w:r w:rsidRPr="002F6AC1">
        <w:t>Gaso</w:t>
      </w:r>
      <w:proofErr w:type="spellEnd"/>
      <w:r w:rsidRPr="002F6AC1">
        <w:t xml:space="preserve">”, </w:t>
      </w:r>
      <w:hyperlink r:id="rId15" w:history="1">
        <w:r w:rsidRPr="002F6AC1">
          <w:rPr>
            <w:rStyle w:val="Hipersaite"/>
          </w:rPr>
          <w:t>info@gaso.lv</w:t>
        </w:r>
      </w:hyperlink>
      <w:r w:rsidRPr="002F6AC1">
        <w:t xml:space="preserve">;  </w:t>
      </w:r>
    </w:p>
    <w:p w14:paraId="1375022B" w14:textId="77777777" w:rsidR="00F839ED" w:rsidRPr="002F6AC1" w:rsidRDefault="00F839ED" w:rsidP="00F839ED">
      <w:pPr>
        <w:numPr>
          <w:ilvl w:val="1"/>
          <w:numId w:val="11"/>
        </w:numPr>
        <w:tabs>
          <w:tab w:val="clear" w:pos="720"/>
          <w:tab w:val="num" w:pos="851"/>
          <w:tab w:val="left" w:pos="900"/>
        </w:tabs>
        <w:spacing w:before="120"/>
        <w:ind w:left="714" w:hanging="357"/>
        <w:jc w:val="both"/>
      </w:pPr>
      <w:r w:rsidRPr="002F6AC1">
        <w:t xml:space="preserve">SIA “TET”, e-vidē </w:t>
      </w:r>
      <w:hyperlink r:id="rId16" w:history="1">
        <w:r w:rsidRPr="002F6AC1">
          <w:rPr>
            <w:rStyle w:val="Hipersaite"/>
          </w:rPr>
          <w:t>www.tet.lv/uzraugi</w:t>
        </w:r>
      </w:hyperlink>
      <w:r w:rsidRPr="002F6AC1">
        <w:t xml:space="preserve">; </w:t>
      </w:r>
    </w:p>
    <w:p w14:paraId="2644B3FE" w14:textId="416BDC0E" w:rsidR="00E46095" w:rsidRDefault="00F839ED" w:rsidP="00E46095">
      <w:pPr>
        <w:numPr>
          <w:ilvl w:val="1"/>
          <w:numId w:val="11"/>
        </w:numPr>
        <w:tabs>
          <w:tab w:val="clear" w:pos="720"/>
          <w:tab w:val="num" w:pos="851"/>
          <w:tab w:val="left" w:pos="900"/>
        </w:tabs>
        <w:spacing w:before="120"/>
        <w:ind w:left="714" w:hanging="357"/>
        <w:jc w:val="both"/>
      </w:pPr>
      <w:r w:rsidRPr="002F6AC1">
        <w:t xml:space="preserve">PA “Ogres komunikācijas”, </w:t>
      </w:r>
      <w:hyperlink r:id="rId17" w:history="1">
        <w:r w:rsidRPr="001D2E2E">
          <w:rPr>
            <w:rStyle w:val="Hipersaite"/>
            <w:shd w:val="clear" w:color="auto" w:fill="FFFFFF"/>
          </w:rPr>
          <w:t>info@ogreskomunikacijas.lv</w:t>
        </w:r>
      </w:hyperlink>
      <w:r w:rsidR="00E46095">
        <w:t>;</w:t>
      </w:r>
    </w:p>
    <w:p w14:paraId="41FE75ED" w14:textId="38BC6B1A" w:rsidR="00F839ED" w:rsidRPr="00E46095" w:rsidRDefault="00E46095" w:rsidP="00E46095">
      <w:pPr>
        <w:numPr>
          <w:ilvl w:val="1"/>
          <w:numId w:val="11"/>
        </w:numPr>
        <w:tabs>
          <w:tab w:val="clear" w:pos="720"/>
          <w:tab w:val="num" w:pos="851"/>
          <w:tab w:val="left" w:pos="900"/>
        </w:tabs>
        <w:spacing w:before="120"/>
        <w:ind w:left="714" w:hanging="357"/>
        <w:jc w:val="both"/>
      </w:pPr>
      <w:r>
        <w:t xml:space="preserve"> </w:t>
      </w:r>
      <w:r w:rsidRPr="00E46095">
        <w:rPr>
          <w:rFonts w:eastAsia="Calibri"/>
        </w:rPr>
        <w:t>Veselības inspekcija</w:t>
      </w:r>
      <w:r>
        <w:rPr>
          <w:rFonts w:eastAsia="Calibri"/>
        </w:rPr>
        <w:t xml:space="preserve">, </w:t>
      </w:r>
      <w:hyperlink r:id="rId18" w:history="1">
        <w:r w:rsidRPr="001F46D4">
          <w:rPr>
            <w:rStyle w:val="Hipersaite"/>
            <w:rFonts w:eastAsia="Calibri"/>
          </w:rPr>
          <w:t>vi@vi.gov.lv</w:t>
        </w:r>
      </w:hyperlink>
      <w:r>
        <w:rPr>
          <w:rFonts w:eastAsia="Calibri"/>
        </w:rPr>
        <w:t xml:space="preserve">. </w:t>
      </w:r>
    </w:p>
    <w:p w14:paraId="52667D24" w14:textId="77777777" w:rsidR="00B65815" w:rsidRDefault="00B65815" w:rsidP="004A1241">
      <w:pPr>
        <w:spacing w:line="276" w:lineRule="auto"/>
        <w:rPr>
          <w:b/>
          <w:bCs/>
        </w:rPr>
      </w:pPr>
    </w:p>
    <w:p w14:paraId="3FC48C19" w14:textId="5464E849" w:rsidR="00290CA2" w:rsidRDefault="00B65815" w:rsidP="004A1241">
      <w:pPr>
        <w:spacing w:line="276" w:lineRule="auto"/>
        <w:rPr>
          <w:b/>
          <w:bCs/>
        </w:rPr>
      </w:pPr>
      <w:r>
        <w:rPr>
          <w:b/>
          <w:bCs/>
        </w:rPr>
        <w:t>3</w:t>
      </w:r>
      <w:r w:rsidR="00290CA2">
        <w:rPr>
          <w:b/>
          <w:bCs/>
        </w:rPr>
        <w:t xml:space="preserve">. </w:t>
      </w:r>
      <w:r w:rsidR="00290CA2" w:rsidRPr="00B20FD0">
        <w:rPr>
          <w:b/>
          <w:bCs/>
        </w:rPr>
        <w:t>Plānotie sabiedrības līdzdalības veidi un pasākumi</w:t>
      </w:r>
    </w:p>
    <w:p w14:paraId="132A33FA" w14:textId="7EB489E3" w:rsidR="004A1241" w:rsidRPr="00D24D88" w:rsidRDefault="004A1241" w:rsidP="004A1241">
      <w:pPr>
        <w:spacing w:line="276" w:lineRule="auto"/>
        <w:jc w:val="both"/>
      </w:pPr>
      <w:r w:rsidRPr="00D24D88">
        <w:t xml:space="preserve">Detālplānojuma redakcija nododama publiskajai apspriešanai uz termiņu ne īsāku par četrām nedēļām, nodrošinot detālplānojuma materiālu pieejamību Ogres novada pašvaldības </w:t>
      </w:r>
      <w:r w:rsidR="00E46095">
        <w:t xml:space="preserve">centrālās administrācijas ēkā Brīvības ielā 33, Ogrē, Ogres nov., un Ogresgala pagasta pārvaldes </w:t>
      </w:r>
      <w:r w:rsidR="0059695C">
        <w:t xml:space="preserve">ēkā Bumbieru ielā 9, Ogresgalā, Ogresgala pag., Ogres nov., </w:t>
      </w:r>
      <w:r w:rsidRPr="00D24D88">
        <w:t>un ievietojot tos pašvaldības tīmekļa vietnē un teritorijas attīstības plānošanas informācijas sistēmā. Minētajā termiņā sabiedrības viedokļu uzklausīšanai organizējama publiskās apspriešanas sanāksme.</w:t>
      </w:r>
    </w:p>
    <w:p w14:paraId="51F847BF" w14:textId="3CE546EC" w:rsidR="00290CA2" w:rsidRDefault="00290CA2" w:rsidP="00290CA2">
      <w:pPr>
        <w:rPr>
          <w:b/>
          <w:bCs/>
        </w:rPr>
      </w:pPr>
    </w:p>
    <w:p w14:paraId="14A7BEBB" w14:textId="77777777" w:rsidR="00FF4E61" w:rsidRDefault="00FF4E61">
      <w:pPr>
        <w:ind w:firstLine="567"/>
        <w:jc w:val="both"/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14:paraId="615DF6E8" w14:textId="300D98B2" w:rsidR="00B65815" w:rsidRPr="00CA5333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CA53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D14ED">
        <w:rPr>
          <w:rFonts w:ascii="Times New Roman" w:hAnsi="Times New Roman"/>
          <w:b/>
          <w:bCs/>
          <w:sz w:val="24"/>
          <w:szCs w:val="24"/>
        </w:rPr>
        <w:t>Detālplānojuma izstrādes teritorija</w:t>
      </w:r>
      <w:r w:rsidRPr="00CA53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987BB59" w14:textId="77777777" w:rsidR="00A858BF" w:rsidRDefault="00A858BF" w:rsidP="00A858BF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Zemes v</w:t>
      </w:r>
      <w:r w:rsidRPr="00A858BF">
        <w:rPr>
          <w:rFonts w:ascii="Times New Roman" w:hAnsi="Times New Roman"/>
          <w:sz w:val="24"/>
          <w:szCs w:val="24"/>
        </w:rPr>
        <w:t xml:space="preserve">ienība Aroniju ielā 16, Ogresgalā, Ogresgala pag., Ogres nov., kadastra apzīmējums 7480 004 0458 un </w:t>
      </w:r>
      <w:r>
        <w:rPr>
          <w:rFonts w:ascii="Times New Roman" w:hAnsi="Times New Roman"/>
          <w:sz w:val="24"/>
          <w:szCs w:val="24"/>
        </w:rPr>
        <w:t xml:space="preserve">zemes vienība </w:t>
      </w:r>
      <w:r w:rsidRPr="00A858BF">
        <w:rPr>
          <w:rFonts w:ascii="Times New Roman" w:hAnsi="Times New Roman"/>
          <w:sz w:val="24"/>
          <w:szCs w:val="24"/>
        </w:rPr>
        <w:t xml:space="preserve">Ābeļu ielā 1A, Ogresgalā, Ogresgala pag., Ogres nov., kadastra apzīmējums 7480 004 0181. </w:t>
      </w:r>
    </w:p>
    <w:p w14:paraId="6D26CA07" w14:textId="6B9C62D0" w:rsidR="00B65815" w:rsidRDefault="00A858BF" w:rsidP="00A858BF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7A951BD9" wp14:editId="1765DE0E">
            <wp:extent cx="5753100" cy="3293110"/>
            <wp:effectExtent l="0" t="0" r="0" b="254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6442" w14:textId="77777777" w:rsidR="00B65815" w:rsidRDefault="00B65815" w:rsidP="00B65815">
      <w:pPr>
        <w:pStyle w:val="Pamattekstsaratkpi"/>
        <w:spacing w:line="276" w:lineRule="auto"/>
        <w:ind w:left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E51A2C" wp14:editId="712A004B">
            <wp:simplePos x="0" y="0"/>
            <wp:positionH relativeFrom="column">
              <wp:posOffset>0</wp:posOffset>
            </wp:positionH>
            <wp:positionV relativeFrom="paragraph">
              <wp:posOffset>223948</wp:posOffset>
            </wp:positionV>
            <wp:extent cx="34988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993" y="20712"/>
                <wp:lineTo x="19993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A2">
        <w:rPr>
          <w:b/>
        </w:rPr>
        <w:t xml:space="preserve">Apzīmējumi </w:t>
      </w:r>
    </w:p>
    <w:p w14:paraId="100FF93E" w14:textId="77777777" w:rsidR="00B65815" w:rsidRDefault="00B65815" w:rsidP="00B65815">
      <w:pPr>
        <w:pStyle w:val="Pamattekstsaratkpi"/>
        <w:spacing w:line="276" w:lineRule="auto"/>
        <w:ind w:left="0"/>
        <w:rPr>
          <w:noProof/>
        </w:rPr>
      </w:pPr>
      <w:r>
        <w:rPr>
          <w:noProof/>
        </w:rPr>
        <w:t xml:space="preserve">Detālplānojuma teritorijas robeža   </w:t>
      </w:r>
    </w:p>
    <w:p w14:paraId="42DEB216" w14:textId="7462D479" w:rsidR="00290CA2" w:rsidRDefault="00290CA2" w:rsidP="00290CA2">
      <w:pPr>
        <w:rPr>
          <w:b/>
          <w:bCs/>
        </w:rPr>
      </w:pPr>
    </w:p>
    <w:p w14:paraId="0E7E2809" w14:textId="18D2A156" w:rsidR="00290CA2" w:rsidRDefault="00290CA2" w:rsidP="00290CA2">
      <w:pPr>
        <w:rPr>
          <w:b/>
          <w:bCs/>
        </w:rPr>
      </w:pPr>
    </w:p>
    <w:p w14:paraId="63841F54" w14:textId="5EB2D778" w:rsidR="00290CA2" w:rsidRDefault="00290CA2" w:rsidP="00290CA2">
      <w:pPr>
        <w:rPr>
          <w:b/>
          <w:bCs/>
        </w:rPr>
      </w:pPr>
    </w:p>
    <w:p w14:paraId="409B2DB8" w14:textId="77777777" w:rsidR="004A1241" w:rsidRPr="00B20FD0" w:rsidRDefault="004A1241" w:rsidP="004A1241">
      <w:pPr>
        <w:pStyle w:val="Pamattekstsaratkpi"/>
        <w:ind w:left="0"/>
      </w:pPr>
    </w:p>
    <w:p w14:paraId="1C35C0BD" w14:textId="698B837F" w:rsidR="004A1241" w:rsidRPr="00B20FD0" w:rsidRDefault="004A1241" w:rsidP="004A1241">
      <w:pPr>
        <w:pStyle w:val="Pamattekstsaratkpi"/>
        <w:spacing w:after="0"/>
        <w:ind w:left="0"/>
      </w:pPr>
      <w:r>
        <w:t>Izstrādāja</w:t>
      </w:r>
      <w:r w:rsidRPr="00B20FD0">
        <w:t xml:space="preserve">                                                                               </w:t>
      </w:r>
      <w:r>
        <w:t xml:space="preserve">                                   </w:t>
      </w:r>
      <w:r w:rsidRPr="00B20FD0">
        <w:t xml:space="preserve">     J. Duboks</w:t>
      </w:r>
    </w:p>
    <w:p w14:paraId="57018A35" w14:textId="73080A2B" w:rsidR="004A1241" w:rsidRDefault="004A1241" w:rsidP="004A1241">
      <w:pPr>
        <w:pStyle w:val="Pamattekstsaratkpi"/>
        <w:spacing w:after="0"/>
        <w:ind w:left="0"/>
        <w:jc w:val="right"/>
      </w:pPr>
      <w:r w:rsidRPr="00B20FD0">
        <w:t xml:space="preserve">Ogres novada pašvaldības </w:t>
      </w:r>
      <w:r>
        <w:t>C</w:t>
      </w:r>
      <w:r w:rsidRPr="00B20FD0">
        <w:t>entrālās administrācijas</w:t>
      </w:r>
    </w:p>
    <w:p w14:paraId="3EDFEE9F" w14:textId="6AC42C52" w:rsidR="004A1241" w:rsidRDefault="004A1241" w:rsidP="004A1241">
      <w:pPr>
        <w:pStyle w:val="Pamattekstsaratkpi"/>
        <w:spacing w:after="0"/>
        <w:ind w:left="0"/>
        <w:jc w:val="right"/>
      </w:pPr>
      <w:r>
        <w:t>Attīstības un plānošanas nodaļas telpiskais plānotājs</w:t>
      </w:r>
    </w:p>
    <w:p w14:paraId="2F3B22A3" w14:textId="77777777" w:rsidR="004A1241" w:rsidRDefault="004A1241" w:rsidP="004A1241">
      <w:pPr>
        <w:pStyle w:val="Pamattekstsaratkpi"/>
        <w:spacing w:after="0"/>
        <w:ind w:left="0"/>
        <w:jc w:val="right"/>
      </w:pP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</w:p>
    <w:sectPr w:rsidR="004A1241" w:rsidSect="00C44A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6794" w14:textId="77777777" w:rsidR="008D37F6" w:rsidRDefault="008D37F6" w:rsidP="004D6420">
      <w:r>
        <w:separator/>
      </w:r>
    </w:p>
  </w:endnote>
  <w:endnote w:type="continuationSeparator" w:id="0">
    <w:p w14:paraId="1A93ABF8" w14:textId="77777777" w:rsidR="008D37F6" w:rsidRDefault="008D37F6" w:rsidP="004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2846" w14:textId="77777777" w:rsidR="008D37F6" w:rsidRDefault="008D37F6" w:rsidP="004D6420">
      <w:r>
        <w:separator/>
      </w:r>
    </w:p>
  </w:footnote>
  <w:footnote w:type="continuationSeparator" w:id="0">
    <w:p w14:paraId="60AC0FB0" w14:textId="77777777" w:rsidR="008D37F6" w:rsidRDefault="008D37F6" w:rsidP="004D6420">
      <w:r>
        <w:continuationSeparator/>
      </w:r>
    </w:p>
  </w:footnote>
  <w:footnote w:id="1">
    <w:p w14:paraId="1DFEB526" w14:textId="3F750CD4" w:rsidR="007049E9" w:rsidRDefault="007049E9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1A4264">
          <w:rPr>
            <w:rStyle w:val="Hipersaite"/>
          </w:rPr>
          <w:t>https://tapis.gov.lv/tapis/lv/downloads/44050</w:t>
        </w:r>
      </w:hyperlink>
      <w:r>
        <w:rPr>
          <w:rStyle w:val="Hipersait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181"/>
    <w:multiLevelType w:val="multilevel"/>
    <w:tmpl w:val="9042D0FE"/>
    <w:styleLink w:val="Stils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390EBC"/>
    <w:multiLevelType w:val="multilevel"/>
    <w:tmpl w:val="ABC89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3273A4E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 w15:restartNumberingAfterBreak="0">
    <w:nsid w:val="2FC96BF5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4" w15:restartNumberingAfterBreak="0">
    <w:nsid w:val="30D047E0"/>
    <w:multiLevelType w:val="hybridMultilevel"/>
    <w:tmpl w:val="EFD2E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6" w15:restartNumberingAfterBreak="0">
    <w:nsid w:val="3A94751F"/>
    <w:multiLevelType w:val="hybridMultilevel"/>
    <w:tmpl w:val="44500FFC"/>
    <w:lvl w:ilvl="0" w:tplc="2B6AE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340459"/>
    <w:multiLevelType w:val="multilevel"/>
    <w:tmpl w:val="0FF8D9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5CB417A"/>
    <w:multiLevelType w:val="multilevel"/>
    <w:tmpl w:val="9042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2952FD"/>
    <w:multiLevelType w:val="multilevel"/>
    <w:tmpl w:val="04C09E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D2B39DB"/>
    <w:multiLevelType w:val="multilevel"/>
    <w:tmpl w:val="533C9D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40411834">
    <w:abstractNumId w:val="8"/>
  </w:num>
  <w:num w:numId="2" w16cid:durableId="1531066885">
    <w:abstractNumId w:val="9"/>
  </w:num>
  <w:num w:numId="3" w16cid:durableId="1186556147">
    <w:abstractNumId w:val="1"/>
  </w:num>
  <w:num w:numId="4" w16cid:durableId="535656513">
    <w:abstractNumId w:val="10"/>
  </w:num>
  <w:num w:numId="5" w16cid:durableId="394544763">
    <w:abstractNumId w:val="0"/>
  </w:num>
  <w:num w:numId="6" w16cid:durableId="1937251410">
    <w:abstractNumId w:val="7"/>
  </w:num>
  <w:num w:numId="7" w16cid:durableId="1391728938">
    <w:abstractNumId w:val="6"/>
  </w:num>
  <w:num w:numId="8" w16cid:durableId="340010918">
    <w:abstractNumId w:val="4"/>
  </w:num>
  <w:num w:numId="9" w16cid:durableId="1650552595">
    <w:abstractNumId w:val="5"/>
  </w:num>
  <w:num w:numId="10" w16cid:durableId="581570395">
    <w:abstractNumId w:val="2"/>
  </w:num>
  <w:num w:numId="11" w16cid:durableId="391543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9B"/>
    <w:rsid w:val="000405B5"/>
    <w:rsid w:val="000A6216"/>
    <w:rsid w:val="000F49FF"/>
    <w:rsid w:val="001617E6"/>
    <w:rsid w:val="001934CD"/>
    <w:rsid w:val="00290CA2"/>
    <w:rsid w:val="00301C73"/>
    <w:rsid w:val="00340DF0"/>
    <w:rsid w:val="003714D8"/>
    <w:rsid w:val="004018BE"/>
    <w:rsid w:val="004264AD"/>
    <w:rsid w:val="004A1241"/>
    <w:rsid w:val="004A459B"/>
    <w:rsid w:val="004D6420"/>
    <w:rsid w:val="00513387"/>
    <w:rsid w:val="00532B03"/>
    <w:rsid w:val="0059695C"/>
    <w:rsid w:val="005A4A35"/>
    <w:rsid w:val="005C3B12"/>
    <w:rsid w:val="0064023D"/>
    <w:rsid w:val="00696A82"/>
    <w:rsid w:val="006A1DA2"/>
    <w:rsid w:val="00700DD2"/>
    <w:rsid w:val="007049E9"/>
    <w:rsid w:val="0075518E"/>
    <w:rsid w:val="00794101"/>
    <w:rsid w:val="00867FD5"/>
    <w:rsid w:val="008D0898"/>
    <w:rsid w:val="008D37F6"/>
    <w:rsid w:val="008D7CD0"/>
    <w:rsid w:val="00904A80"/>
    <w:rsid w:val="00931FAB"/>
    <w:rsid w:val="00966C8D"/>
    <w:rsid w:val="009905B8"/>
    <w:rsid w:val="00A62D2B"/>
    <w:rsid w:val="00A858BF"/>
    <w:rsid w:val="00AD14ED"/>
    <w:rsid w:val="00B65815"/>
    <w:rsid w:val="00BD77FF"/>
    <w:rsid w:val="00C05D2D"/>
    <w:rsid w:val="00C44A6B"/>
    <w:rsid w:val="00CA1B01"/>
    <w:rsid w:val="00CA2E9A"/>
    <w:rsid w:val="00CA5333"/>
    <w:rsid w:val="00CA7C4D"/>
    <w:rsid w:val="00D12CE5"/>
    <w:rsid w:val="00D24D88"/>
    <w:rsid w:val="00D64483"/>
    <w:rsid w:val="00D67430"/>
    <w:rsid w:val="00DA30AA"/>
    <w:rsid w:val="00E115EF"/>
    <w:rsid w:val="00E46095"/>
    <w:rsid w:val="00E87F1D"/>
    <w:rsid w:val="00F01F0F"/>
    <w:rsid w:val="00F55E02"/>
    <w:rsid w:val="00F839ED"/>
    <w:rsid w:val="00FC6BEC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6D20A"/>
  <w15:chartTrackingRefBased/>
  <w15:docId w15:val="{0690C924-502B-41BF-BA57-BC0B8A10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459B"/>
    <w:pPr>
      <w:ind w:firstLine="0"/>
      <w:jc w:val="left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4A45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Virsraksts2">
    <w:name w:val="heading 2"/>
    <w:basedOn w:val="Parasts"/>
    <w:next w:val="Parasts"/>
    <w:link w:val="Virsraksts2Rakstz"/>
    <w:qFormat/>
    <w:rsid w:val="004A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45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rsid w:val="004A459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Parasts"/>
    <w:next w:val="Tekstabloks"/>
    <w:rsid w:val="004A45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arakstarindkopa1">
    <w:name w:val="Saraksta rindkopa1"/>
    <w:basedOn w:val="Parasts"/>
    <w:qFormat/>
    <w:rsid w:val="004A459B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ils1">
    <w:name w:val="Stils1"/>
    <w:rsid w:val="004A459B"/>
    <w:pPr>
      <w:numPr>
        <w:numId w:val="5"/>
      </w:numPr>
    </w:pPr>
  </w:style>
  <w:style w:type="paragraph" w:styleId="Pamattekstaatkpe2">
    <w:name w:val="Body Text Indent 2"/>
    <w:basedOn w:val="Parasts"/>
    <w:link w:val="Pamattekstaatkpe2Rakstz"/>
    <w:rsid w:val="004A459B"/>
    <w:pPr>
      <w:spacing w:after="120" w:line="480" w:lineRule="auto"/>
      <w:ind w:left="283"/>
    </w:pPr>
    <w:rPr>
      <w:noProof/>
    </w:rPr>
  </w:style>
  <w:style w:type="character" w:customStyle="1" w:styleId="Pamattekstaatkpe2Rakstz">
    <w:name w:val="Pamatteksta atkāpe 2 Rakstz."/>
    <w:basedOn w:val="Noklusjumarindkopasfonts"/>
    <w:link w:val="Pamattekstaatkpe2"/>
    <w:rsid w:val="004A459B"/>
    <w:rPr>
      <w:rFonts w:eastAsia="Times New Roman"/>
      <w:noProof/>
      <w:lang w:eastAsia="lv-LV"/>
    </w:rPr>
  </w:style>
  <w:style w:type="character" w:styleId="Izclums">
    <w:name w:val="Emphasis"/>
    <w:uiPriority w:val="20"/>
    <w:qFormat/>
    <w:rsid w:val="004A459B"/>
    <w:rPr>
      <w:i/>
      <w:iCs/>
    </w:rPr>
  </w:style>
  <w:style w:type="paragraph" w:styleId="Tekstabloks">
    <w:name w:val="Block Text"/>
    <w:basedOn w:val="Parasts"/>
    <w:uiPriority w:val="99"/>
    <w:semiHidden/>
    <w:unhideWhenUsed/>
    <w:rsid w:val="004A459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Vresteksts">
    <w:name w:val="footnote text"/>
    <w:basedOn w:val="Parasts"/>
    <w:link w:val="VrestekstsRakstz"/>
    <w:unhideWhenUsed/>
    <w:rsid w:val="004D642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4D6420"/>
    <w:rPr>
      <w:rFonts w:eastAsia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nhideWhenUsed/>
    <w:rsid w:val="004D6420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D64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D642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E115E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96A8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6A82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">
    <w:name w:val="Char"/>
    <w:basedOn w:val="Parasts"/>
    <w:rsid w:val="00966C8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matteksts">
    <w:name w:val="Body Text"/>
    <w:basedOn w:val="Parasts"/>
    <w:link w:val="PamattekstsRakstz"/>
    <w:rsid w:val="001617E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1617E6"/>
    <w:rPr>
      <w:rFonts w:eastAsia="Times New Roman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617E6"/>
    <w:rPr>
      <w:color w:val="954F72" w:themeColor="followedHyperlink"/>
      <w:u w:val="single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CA533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A5333"/>
    <w:rPr>
      <w:rFonts w:eastAsia="Times New Roman"/>
      <w:lang w:eastAsia="lv-LV"/>
    </w:rPr>
  </w:style>
  <w:style w:type="paragraph" w:customStyle="1" w:styleId="Char0">
    <w:name w:val="Char"/>
    <w:basedOn w:val="Parasts"/>
    <w:rsid w:val="00F839E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E46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lriga@vvd.gov.lv" TargetMode="External"/><Relationship Id="rId13" Type="http://schemas.openxmlformats.org/officeDocument/2006/relationships/hyperlink" Target="mailto:andis.didrihsons@zmni.lv" TargetMode="External"/><Relationship Id="rId18" Type="http://schemas.openxmlformats.org/officeDocument/2006/relationships/hyperlink" Target="mailto:vi@vi.gov.l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emgale@zmni.lv" TargetMode="External"/><Relationship Id="rId17" Type="http://schemas.openxmlformats.org/officeDocument/2006/relationships/hyperlink" Target="mailto:info@ogreskomunikacijas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t.lv/uzraugi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nars.baumanis@lvceli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gaso.lv" TargetMode="External"/><Relationship Id="rId10" Type="http://schemas.openxmlformats.org/officeDocument/2006/relationships/hyperlink" Target="mailto:ogre@vugd.gov.lv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ieriga@daba.gov.lv" TargetMode="External"/><Relationship Id="rId14" Type="http://schemas.openxmlformats.org/officeDocument/2006/relationships/hyperlink" Target="https://sadalestikls.lv/lv/projektu-darbu-saskanosana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apis.gov.lv/tapis/lv/downloads/44050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BF15-A5C4-470A-945F-CB1C3E71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3310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Elizabete Zemzale</cp:lastModifiedBy>
  <cp:revision>2</cp:revision>
  <cp:lastPrinted>2022-01-28T08:40:00Z</cp:lastPrinted>
  <dcterms:created xsi:type="dcterms:W3CDTF">2022-07-28T08:48:00Z</dcterms:created>
  <dcterms:modified xsi:type="dcterms:W3CDTF">2022-07-28T08:48:00Z</dcterms:modified>
</cp:coreProperties>
</file>