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B1219" w14:textId="77777777" w:rsidR="0001732F" w:rsidRPr="00C14B58" w:rsidRDefault="0001732F" w:rsidP="0001732F">
      <w:pPr>
        <w:jc w:val="center"/>
        <w:rPr>
          <w:rFonts w:ascii="RimBelwe" w:hAnsi="RimBelwe"/>
          <w:noProof/>
          <w:sz w:val="12"/>
          <w:szCs w:val="28"/>
        </w:rPr>
      </w:pPr>
    </w:p>
    <w:p w14:paraId="2466DBD2" w14:textId="77777777" w:rsidR="00ED5E54" w:rsidRPr="00735BC6" w:rsidRDefault="00ED5E54" w:rsidP="00ED5E54">
      <w:pPr>
        <w:ind w:right="43"/>
        <w:jc w:val="center"/>
        <w:rPr>
          <w:noProof/>
        </w:rPr>
      </w:pPr>
      <w:r>
        <w:rPr>
          <w:noProof/>
        </w:rPr>
        <w:drawing>
          <wp:inline distT="0" distB="0" distL="0" distR="0" wp14:anchorId="10280D14" wp14:editId="6B8A7568">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0BCA34" w14:textId="77777777" w:rsidR="00ED5E54" w:rsidRPr="009154C1" w:rsidRDefault="00ED5E54" w:rsidP="00ED5E54">
      <w:pPr>
        <w:ind w:right="43"/>
        <w:jc w:val="center"/>
        <w:rPr>
          <w:noProof/>
          <w:sz w:val="36"/>
        </w:rPr>
      </w:pPr>
      <w:r w:rsidRPr="009154C1">
        <w:rPr>
          <w:noProof/>
          <w:sz w:val="36"/>
        </w:rPr>
        <w:t>OGRES  NOVADA  PAŠVALDĪBA</w:t>
      </w:r>
    </w:p>
    <w:p w14:paraId="7458E83B" w14:textId="77777777" w:rsidR="00ED5E54" w:rsidRPr="009154C1" w:rsidRDefault="00ED5E54" w:rsidP="00ED5E54">
      <w:pPr>
        <w:ind w:right="43"/>
        <w:jc w:val="center"/>
        <w:rPr>
          <w:noProof/>
          <w:sz w:val="18"/>
        </w:rPr>
      </w:pPr>
      <w:r w:rsidRPr="009154C1">
        <w:rPr>
          <w:noProof/>
          <w:sz w:val="18"/>
        </w:rPr>
        <w:t>Reģ.Nr.90000024455, Brīvības iela 33, Ogre, Ogres nov., LV-5001</w:t>
      </w:r>
    </w:p>
    <w:p w14:paraId="11D21A3F" w14:textId="77777777" w:rsidR="00ED5E54" w:rsidRPr="009154C1" w:rsidRDefault="00ED5E54" w:rsidP="00ED5E54">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44458B46" w14:textId="77777777" w:rsidR="00ED5E54" w:rsidRPr="009154C1" w:rsidRDefault="00ED5E54" w:rsidP="00ED5E54">
      <w:pPr>
        <w:ind w:right="43"/>
        <w:rPr>
          <w:szCs w:val="32"/>
        </w:rPr>
      </w:pPr>
    </w:p>
    <w:p w14:paraId="3AFCD299" w14:textId="77777777" w:rsidR="00ED5E54" w:rsidRPr="009154C1" w:rsidRDefault="00ED5E54" w:rsidP="00ED5E54">
      <w:pPr>
        <w:ind w:right="43"/>
        <w:jc w:val="center"/>
        <w:rPr>
          <w:sz w:val="32"/>
          <w:szCs w:val="32"/>
        </w:rPr>
      </w:pPr>
      <w:r w:rsidRPr="009154C1">
        <w:rPr>
          <w:sz w:val="28"/>
          <w:szCs w:val="28"/>
        </w:rPr>
        <w:t>PAŠVALDĪBAS DOMES SĒDES PROTOKOLA IZRAKSTS</w:t>
      </w:r>
    </w:p>
    <w:p w14:paraId="6E6D24FC" w14:textId="77777777" w:rsidR="0001732F" w:rsidRDefault="0001732F" w:rsidP="0001732F">
      <w:pPr>
        <w:jc w:val="center"/>
      </w:pPr>
    </w:p>
    <w:p w14:paraId="6C30D9E2" w14:textId="77777777" w:rsidR="0001732F" w:rsidRPr="00296974" w:rsidRDefault="0001732F" w:rsidP="0001732F"/>
    <w:tbl>
      <w:tblPr>
        <w:tblW w:w="5000" w:type="pct"/>
        <w:tblLook w:val="0000" w:firstRow="0" w:lastRow="0" w:firstColumn="0" w:lastColumn="0" w:noHBand="0" w:noVBand="0"/>
      </w:tblPr>
      <w:tblGrid>
        <w:gridCol w:w="2986"/>
        <w:gridCol w:w="2988"/>
        <w:gridCol w:w="3097"/>
      </w:tblGrid>
      <w:tr w:rsidR="0001732F" w:rsidRPr="00296974" w14:paraId="5FD73E74" w14:textId="77777777" w:rsidTr="0096089C">
        <w:trPr>
          <w:trHeight w:val="183"/>
        </w:trPr>
        <w:tc>
          <w:tcPr>
            <w:tcW w:w="1646" w:type="pct"/>
          </w:tcPr>
          <w:p w14:paraId="29239EC6" w14:textId="77777777" w:rsidR="0001732F" w:rsidRPr="00296974" w:rsidRDefault="0001732F" w:rsidP="0096089C">
            <w:r w:rsidRPr="00296974">
              <w:t>Ogrē, Brīvības ielā 33</w:t>
            </w:r>
          </w:p>
        </w:tc>
        <w:tc>
          <w:tcPr>
            <w:tcW w:w="1647" w:type="pct"/>
          </w:tcPr>
          <w:p w14:paraId="568EEC84" w14:textId="438607D8" w:rsidR="0001732F" w:rsidRPr="00296974" w:rsidRDefault="0001732F" w:rsidP="00D651EC">
            <w:pPr>
              <w:pStyle w:val="Heading4"/>
              <w:spacing w:before="0" w:after="0"/>
              <w:jc w:val="center"/>
              <w:rPr>
                <w:sz w:val="24"/>
                <w:szCs w:val="24"/>
              </w:rPr>
            </w:pPr>
            <w:r w:rsidRPr="005E5123">
              <w:rPr>
                <w:sz w:val="24"/>
                <w:szCs w:val="24"/>
              </w:rPr>
              <w:t>Nr.</w:t>
            </w:r>
            <w:r w:rsidR="00D651EC">
              <w:rPr>
                <w:sz w:val="24"/>
                <w:szCs w:val="24"/>
              </w:rPr>
              <w:t>15</w:t>
            </w:r>
          </w:p>
        </w:tc>
        <w:tc>
          <w:tcPr>
            <w:tcW w:w="1707" w:type="pct"/>
          </w:tcPr>
          <w:p w14:paraId="441474F2" w14:textId="700161A2" w:rsidR="0001732F" w:rsidRPr="00296974" w:rsidRDefault="0001732F" w:rsidP="0096089C">
            <w:pPr>
              <w:jc w:val="right"/>
            </w:pPr>
            <w:r>
              <w:t>20</w:t>
            </w:r>
            <w:r w:rsidR="00ED5E54">
              <w:t>23.gada 31.augustā</w:t>
            </w:r>
          </w:p>
        </w:tc>
      </w:tr>
    </w:tbl>
    <w:p w14:paraId="5F83E079" w14:textId="77777777" w:rsidR="0001732F" w:rsidRDefault="0001732F" w:rsidP="0001732F">
      <w:pPr>
        <w:rPr>
          <w:b/>
          <w:bCs/>
        </w:rPr>
      </w:pPr>
    </w:p>
    <w:p w14:paraId="61477738" w14:textId="61F99568" w:rsidR="0001732F" w:rsidRPr="00296974" w:rsidRDefault="0001732F" w:rsidP="00D651EC">
      <w:pPr>
        <w:ind w:left="-142"/>
        <w:jc w:val="center"/>
        <w:rPr>
          <w:b/>
          <w:bCs/>
        </w:rPr>
      </w:pPr>
      <w:r>
        <w:rPr>
          <w:b/>
          <w:bCs/>
        </w:rPr>
        <w:t xml:space="preserve"> </w:t>
      </w:r>
      <w:r w:rsidR="00D651EC">
        <w:rPr>
          <w:b/>
          <w:bCs/>
        </w:rPr>
        <w:t>45</w:t>
      </w:r>
      <w:r w:rsidR="00ED5E54">
        <w:rPr>
          <w:b/>
          <w:bCs/>
        </w:rPr>
        <w:t>.</w:t>
      </w:r>
    </w:p>
    <w:p w14:paraId="0DB58374" w14:textId="51B1925C" w:rsidR="0001732F" w:rsidRDefault="0001732F" w:rsidP="0001732F">
      <w:pPr>
        <w:tabs>
          <w:tab w:val="left" w:pos="3660"/>
          <w:tab w:val="center" w:pos="4082"/>
        </w:tabs>
        <w:spacing w:after="240"/>
        <w:ind w:left="-142"/>
        <w:jc w:val="center"/>
        <w:rPr>
          <w:b/>
          <w:u w:val="single"/>
        </w:rPr>
      </w:pPr>
      <w:r>
        <w:rPr>
          <w:b/>
          <w:u w:val="single"/>
        </w:rPr>
        <w:t>Par atļauju lauksaimniecības zemes ierīkošanai nekustamajā īpašumā “</w:t>
      </w:r>
      <w:r w:rsidR="0014049A">
        <w:rPr>
          <w:b/>
          <w:u w:val="single"/>
        </w:rPr>
        <w:t xml:space="preserve">Lindes parks”, Birzgales pag., </w:t>
      </w:r>
      <w:r>
        <w:rPr>
          <w:b/>
          <w:u w:val="single"/>
        </w:rPr>
        <w:t xml:space="preserve">Ogres nov.  </w:t>
      </w:r>
    </w:p>
    <w:p w14:paraId="29D8765F" w14:textId="1F3FC64B" w:rsidR="005C76D7" w:rsidRDefault="005C76D7" w:rsidP="00907453">
      <w:pPr>
        <w:spacing w:after="60" w:line="276" w:lineRule="auto"/>
        <w:ind w:firstLine="567"/>
        <w:jc w:val="both"/>
      </w:pPr>
      <w:r w:rsidRPr="00CF4B0C">
        <w:t xml:space="preserve">Ogres novada pašvaldībā (turpmāk – Pašvaldība) 2023.gada 30.maijā saņemts </w:t>
      </w:r>
      <w:r w:rsidR="007E7EC0">
        <w:t>[Vārds, uzvārds]</w:t>
      </w:r>
      <w:r w:rsidRPr="00CF4B0C">
        <w:t xml:space="preserve"> iesniegums (reģistrēts Pašvaldībā ar Nr.2-4.2/1400)</w:t>
      </w:r>
      <w:r>
        <w:t xml:space="preserve"> (turpmāk – Iesniegums)</w:t>
      </w:r>
      <w:r w:rsidRPr="00CF4B0C">
        <w:t>, kurā lūgts atļaut ierīkot lauksaimniecības zemi (pļavu) nekustamā īpašuma “Lindes parks”, Birzgales pag., Ogres nov., kadastra Nr.74440010134, sastāvā esošajā zemes vienībā ar kadastra apzīmējumu 74440010134 (turpmāk – Zemes vienība) meža 1.kvartāla 1.nogabalā 0,44 ha platībā (turpmāk – Paredzētā darbība). Atmežojamo platību plānots kompensēt ar ieaudzēto meža platību.</w:t>
      </w:r>
    </w:p>
    <w:p w14:paraId="13D70EF5" w14:textId="79C25577" w:rsidR="005C76D7" w:rsidRDefault="005C76D7" w:rsidP="00907453">
      <w:pPr>
        <w:spacing w:after="20" w:line="276" w:lineRule="auto"/>
        <w:ind w:firstLine="567"/>
        <w:jc w:val="both"/>
      </w:pPr>
      <w:r>
        <w:t xml:space="preserve">Izvērtējot Iesniegumu un ar to saistītos dokumentus, Pašvaldība konstatē: </w:t>
      </w:r>
    </w:p>
    <w:p w14:paraId="7041F206" w14:textId="18450FD2" w:rsidR="005C76D7" w:rsidRPr="00CF4B0C" w:rsidRDefault="005C76D7" w:rsidP="004176A1">
      <w:pPr>
        <w:spacing w:after="20" w:line="276" w:lineRule="auto"/>
        <w:ind w:firstLine="567"/>
        <w:jc w:val="both"/>
      </w:pPr>
      <w:r w:rsidRPr="0014049A">
        <w:rPr>
          <w:b/>
          <w:bCs/>
        </w:rPr>
        <w:t>[1]</w:t>
      </w:r>
      <w:r>
        <w:t xml:space="preserve"> </w:t>
      </w:r>
      <w:r w:rsidRPr="00CF4B0C">
        <w:t>Saskaņā ar Ķeguma novada pašvaldības 2013.gada 13.augusta saistošo noteikumu Nr.11/2013 “Par Ķeguma novada teritorijas plānojuma 2013.–2024.gadam Teritorijas izmantošanas un apbūves noteikumiem un Grafisko daļu” (turpmāk – SN 11/2013) Grafisko daļu</w:t>
      </w:r>
      <w:r w:rsidRPr="00CF4B0C">
        <w:rPr>
          <w:rStyle w:val="FootnoteReference"/>
        </w:rPr>
        <w:footnoteReference w:id="1"/>
      </w:r>
      <w:r w:rsidRPr="00CF4B0C">
        <w:t xml:space="preserve"> Zemes vienībai daļai, kur plānots īstenot Paredzēto darbību, noteikta funkcionālā zona </w:t>
      </w:r>
      <w:r w:rsidRPr="00CF4B0C">
        <w:rPr>
          <w:i/>
          <w:iCs/>
        </w:rPr>
        <w:t>Lauksaimniecības teritorija (L1)</w:t>
      </w:r>
      <w:r w:rsidRPr="00CF4B0C">
        <w:t>. Atbilstoši SN11/2013 Teritorijas izmantošanas un apbūves noteikumu</w:t>
      </w:r>
      <w:r w:rsidRPr="00CF4B0C">
        <w:rPr>
          <w:rStyle w:val="FootnoteReference"/>
        </w:rPr>
        <w:footnoteReference w:id="2"/>
      </w:r>
      <w:r w:rsidRPr="00CF4B0C">
        <w:t xml:space="preserve"> (turpmāk – TIAN) 412.1.punktam viens no atļautajiem primārajiem izmantošanas veidiem minētajā funkcionālajā zonā ir lauksaimnieciskā teritorijas izmantošana. Atbilstoši SN11/2013 TIAN 15.68.punktam </w:t>
      </w:r>
      <w:r w:rsidRPr="00CF4B0C">
        <w:rPr>
          <w:i/>
          <w:iCs/>
        </w:rPr>
        <w:t>lauksaimnieciska izmantošana</w:t>
      </w:r>
      <w:r w:rsidRPr="00CF4B0C">
        <w:t xml:space="preserve"> nozīmē izmantošanu, kas ietver augkopību, dārzeņkopību, dārzkopību, lopkopību, putnkopību, zivsaimniecību un ar to saistītos pakalpojumus, izņemot veterināro darbību, un var ietvert arī dzīvnieku kopšanu, kažokzvēru audzēšanu, ogu krūmu un augļu koku audzēšanu un ražas novākšanu, siltumnīcas, velēnu audzēšanu un sēņu audzēšanu, gliemežu un slieku audzēšanu, kā arī fermu. No minētā secināms, ka Paredzētā darbība nav pretrunā SN11/2013.</w:t>
      </w:r>
    </w:p>
    <w:p w14:paraId="2CEED661" w14:textId="7D7BA50C" w:rsidR="005C76D7" w:rsidRDefault="005C76D7" w:rsidP="004176A1">
      <w:pPr>
        <w:spacing w:after="20" w:line="276" w:lineRule="auto"/>
        <w:ind w:firstLine="567"/>
        <w:jc w:val="both"/>
      </w:pPr>
      <w:r w:rsidRPr="0014049A">
        <w:rPr>
          <w:b/>
          <w:bCs/>
        </w:rPr>
        <w:t>[2]</w:t>
      </w:r>
      <w:r>
        <w:t xml:space="preserve"> </w:t>
      </w:r>
      <w:r w:rsidRPr="00CF4B0C">
        <w:t xml:space="preserve">Atbilstoši Dabas aizsardzības pārvaldes Dabas datu pārvaldības sistēmā OZOLS pieejamai informācijai Paredzētās darbības teritorijā nav reģistrēti īpaši aizsargājami biotopi un īpaši aizsargājamo sugu dzīvotnes. </w:t>
      </w:r>
      <w:r>
        <w:t xml:space="preserve">Ņemot vērā minēto, secināms, ka, ierīkojot lauksaimniecības zemi </w:t>
      </w:r>
      <w:r w:rsidR="00880096">
        <w:t>a</w:t>
      </w:r>
      <w:r>
        <w:t xml:space="preserve">tmežošanai paredzētajā teritorijā, tiek ievērotas Ministru kabineta 2013.gada 5.marta noteikumu Nr.118 “Kārtība, kādā lauksaimniecībā izmantojamo zemi ierīko </w:t>
      </w:r>
      <w:r>
        <w:lastRenderedPageBreak/>
        <w:t>mežā, kā arī izsniedz atļauju tās ierīkošanai” (turpmāk – MK noteikumi Nr.118) 5.punktā izvirzītās prasības.</w:t>
      </w:r>
    </w:p>
    <w:p w14:paraId="24F9E0C9" w14:textId="0B77B386" w:rsidR="000637C1" w:rsidRDefault="005C76D7" w:rsidP="004176A1">
      <w:pPr>
        <w:spacing w:after="20" w:line="276" w:lineRule="auto"/>
        <w:ind w:firstLine="567"/>
        <w:jc w:val="both"/>
      </w:pPr>
      <w:r w:rsidRPr="0014049A">
        <w:rPr>
          <w:b/>
          <w:bCs/>
        </w:rPr>
        <w:t>[3]</w:t>
      </w:r>
      <w:r>
        <w:t xml:space="preserve"> </w:t>
      </w:r>
      <w:r w:rsidRPr="005C76D7">
        <w:t>Saskaņā ar MK noteikumu Nr.118 7.punktu atļauju lauksaimniecības zemes ierīkošanai izsniedz (izņemot šo noteikumu 17.punktā minēto gadījumu) vietējā pašvaldība, kuras administratīvajā teritorijā atrodas meža īpašums vai tiesiskais valdījums, kurā paredzēta lauksaimniecības zemes ierīkošana.</w:t>
      </w:r>
    </w:p>
    <w:p w14:paraId="5575F217" w14:textId="77777777" w:rsidR="004176A1" w:rsidRDefault="000637C1" w:rsidP="004176A1">
      <w:pPr>
        <w:spacing w:after="20" w:line="276" w:lineRule="auto"/>
        <w:ind w:firstLine="567"/>
        <w:jc w:val="both"/>
      </w:pPr>
      <w:r w:rsidRPr="0014049A">
        <w:rPr>
          <w:b/>
          <w:bCs/>
        </w:rPr>
        <w:t>[4]</w:t>
      </w:r>
      <w:r>
        <w:t xml:space="preserve"> </w:t>
      </w:r>
      <w:r w:rsidR="0001732F">
        <w:t>Atbilstoši MK noteikumu Nr.118. 10.1.apakšpunktam tika pieprasīti Dabas aizsardzības pārvaldes</w:t>
      </w:r>
      <w:r>
        <w:t xml:space="preserve"> (turpmāk – DAP) </w:t>
      </w:r>
      <w:r w:rsidR="0001732F">
        <w:t>Vidzemes reģionālās administrācijas</w:t>
      </w:r>
      <w:r>
        <w:t>,</w:t>
      </w:r>
      <w:r w:rsidR="0001732F">
        <w:t xml:space="preserve"> Valsts vides dienesta</w:t>
      </w:r>
      <w:r w:rsidR="003C7D9B">
        <w:t xml:space="preserve"> (turpmāk – VVD) </w:t>
      </w:r>
      <w:r w:rsidR="0001732F">
        <w:t>Lielrīgas reģionālās vides pārvaldes un Valsts meža dienesta (turpmāk – VMD)</w:t>
      </w:r>
      <w:r>
        <w:t xml:space="preserve"> atzinumi</w:t>
      </w:r>
      <w:r w:rsidR="0001732F">
        <w:t xml:space="preserve">. MK noteikumu Nr.118 11.punkts noteic, ka </w:t>
      </w:r>
      <w:r>
        <w:t>DAP</w:t>
      </w:r>
      <w:r w:rsidR="0001732F">
        <w:t xml:space="preserve">, </w:t>
      </w:r>
      <w:r>
        <w:t>VVD</w:t>
      </w:r>
      <w:r w:rsidR="0001732F">
        <w:t xml:space="preserve"> reģionālā vides pārvalde un </w:t>
      </w:r>
      <w:r>
        <w:t>VMD</w:t>
      </w:r>
      <w:r w:rsidR="0001732F">
        <w:t xml:space="preserve"> 10 darbdienu laikā pēc </w:t>
      </w:r>
      <w:r>
        <w:t xml:space="preserve">MK noteikumu Nr.118 </w:t>
      </w:r>
      <w:r w:rsidR="0001732F">
        <w:t xml:space="preserve">8.punktā minētā iesnieguma un tam pievienoto dokumentu saņemšanas atbilstoši kompetencei sniedz vietējai pašvaldībai atzinumu par lauksaimniecības zemes ierīkošanas atbilstību dabas un vides aizsardzību reglamentējošiem normatīvajiem aktiem. </w:t>
      </w:r>
      <w:r>
        <w:t>VMD</w:t>
      </w:r>
      <w:r w:rsidR="0001732F">
        <w:t xml:space="preserve"> sniedz vietējai pašvaldībai atzinumu par lauksaimniecības zemes ierīkošanas atbilstību meža apsaimniekošanu un izmantošanu reglamentējošiem normatīvajiem aktiem. Minētās institūcijas sniedza pozitīvus atzinumus (</w:t>
      </w:r>
      <w:r w:rsidR="003C7D9B">
        <w:t>DAP V</w:t>
      </w:r>
      <w:r>
        <w:t>idzemes reģionālās administrācijas</w:t>
      </w:r>
      <w:r w:rsidR="003C7D9B">
        <w:t xml:space="preserve"> vēstule reģistrēta Pašvaldībā 2023.gada 27.jūnijā ar Nr.</w:t>
      </w:r>
      <w:r w:rsidR="003C7D9B" w:rsidRPr="003C7D9B">
        <w:t>2-4.1/3243</w:t>
      </w:r>
      <w:r w:rsidR="003C7D9B">
        <w:t>; VVD Atļauju pārvaldes vēstule reģistrēta Pašvaldībā 2023.gada 6.jūlijā ar Nr.</w:t>
      </w:r>
      <w:r w:rsidR="003C7D9B" w:rsidRPr="003C7D9B">
        <w:t xml:space="preserve"> 2-4.1/</w:t>
      </w:r>
      <w:r w:rsidR="003C7D9B" w:rsidRPr="000637C1">
        <w:t>3420; VMD Rīgas reģionālās virsmežniecības vēstule reģistrēta Pašvaldībā 2023.gada 13.jūnijā ar 2-4.1/3020).</w:t>
      </w:r>
    </w:p>
    <w:p w14:paraId="202DF140" w14:textId="77777777" w:rsidR="004176A1" w:rsidRDefault="00F3431E" w:rsidP="004176A1">
      <w:pPr>
        <w:spacing w:after="20" w:line="276" w:lineRule="auto"/>
        <w:ind w:firstLine="567"/>
        <w:jc w:val="both"/>
      </w:pPr>
      <w:r w:rsidRPr="0014049A">
        <w:rPr>
          <w:b/>
          <w:bCs/>
        </w:rPr>
        <w:t>[5]</w:t>
      </w:r>
      <w:r>
        <w:t xml:space="preserve"> </w:t>
      </w:r>
      <w:r w:rsidR="000637C1" w:rsidRPr="000637C1">
        <w:t xml:space="preserve">Saskaņā ar </w:t>
      </w:r>
      <w:r w:rsidR="000637C1">
        <w:t xml:space="preserve">SN11/2013 Grafisko daļu Zemes vienībai noteikts apgrūtinājums – valsts nozīmes arhitektūras pieminekļa “Lindes muižas parks” (valsts aizsardzības Nr.2882) </w:t>
      </w:r>
      <w:r w:rsidR="00DC5593">
        <w:t>aizsargjosla.</w:t>
      </w:r>
      <w:r w:rsidR="000637C1">
        <w:t xml:space="preserve"> </w:t>
      </w:r>
      <w:r w:rsidR="003C0689">
        <w:t>Aizsargjoslu likuma 38.panta 1.punkts n</w:t>
      </w:r>
      <w:r>
        <w:t>oteic</w:t>
      </w:r>
      <w:r w:rsidR="003C0689">
        <w:t xml:space="preserve">, ka aizsargjoslās ap kultūras pieminekļiem jebkuru saimniecisku darbību drīkst veikt tikai ar Nacionālās kultūras mantojuma pārvaldes (turpmāk – NKMP) un kultūras pieminekļa īpašnieku atļauju. </w:t>
      </w:r>
      <w:r w:rsidR="003C7D9B">
        <w:t>2023.gada 27.jūnijā</w:t>
      </w:r>
      <w:r w:rsidR="003C0689">
        <w:t xml:space="preserve"> Pašvaldībā saņemta NKMP vēstule (</w:t>
      </w:r>
      <w:r w:rsidR="003C7D9B">
        <w:t>reģistrēta Pašvaldībā ar Nr.</w:t>
      </w:r>
      <w:r w:rsidR="003C7D9B" w:rsidRPr="003C7D9B">
        <w:t>2-4.1/3256</w:t>
      </w:r>
      <w:r w:rsidR="003C0689">
        <w:t xml:space="preserve">), kurā informēts, ka NKMP </w:t>
      </w:r>
      <w:r w:rsidR="003C7D9B" w:rsidRPr="003C7D9B">
        <w:t xml:space="preserve">nav iebildumu pret </w:t>
      </w:r>
      <w:r w:rsidR="003C0689">
        <w:t>Paredzēto darbību un NKMP</w:t>
      </w:r>
      <w:r w:rsidR="003C7D9B" w:rsidRPr="003C7D9B">
        <w:t xml:space="preserve"> neizvirza papildus nosacījumus.</w:t>
      </w:r>
    </w:p>
    <w:p w14:paraId="1D55FB0C" w14:textId="24B29CD7" w:rsidR="004176A1" w:rsidRDefault="0050078F" w:rsidP="004176A1">
      <w:pPr>
        <w:spacing w:after="20" w:line="276" w:lineRule="auto"/>
        <w:ind w:firstLine="567"/>
        <w:jc w:val="both"/>
      </w:pPr>
      <w:r w:rsidRPr="0014049A">
        <w:rPr>
          <w:b/>
          <w:bCs/>
        </w:rPr>
        <w:t>[6]</w:t>
      </w:r>
      <w:r>
        <w:t xml:space="preserve"> </w:t>
      </w:r>
      <w:r w:rsidR="0001732F">
        <w:t xml:space="preserve">MK noteikumu Nr.118 12.punkts noteic, ka ja šo noteikumu 11.punktā minēto institūciju atzinumi ir pozitīvi, vietējā </w:t>
      </w:r>
      <w:r w:rsidR="0001732F" w:rsidRPr="006739E0">
        <w:rPr>
          <w:color w:val="000000" w:themeColor="text1"/>
        </w:rPr>
        <w:t xml:space="preserve">pašvaldība nekavējoties rakstiski informē darbības ierosinātāju, ka divu mēnešu laikā vietējā pašvaldībā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w:t>
      </w:r>
      <w:r w:rsidR="0001732F" w:rsidRPr="006739E0">
        <w:rPr>
          <w:color w:val="000000" w:themeColor="text1"/>
          <w:u w:val="single"/>
        </w:rPr>
        <w:t>kompensē ar ieaudzēta meža platību</w:t>
      </w:r>
      <w:r w:rsidR="0001732F" w:rsidRPr="006739E0">
        <w:rPr>
          <w:color w:val="000000" w:themeColor="text1"/>
        </w:rPr>
        <w:t xml:space="preserve">. </w:t>
      </w:r>
      <w:r w:rsidR="00B932EA" w:rsidRPr="006739E0">
        <w:rPr>
          <w:color w:val="000000" w:themeColor="text1"/>
        </w:rPr>
        <w:t xml:space="preserve">2023.gada 13.jūnijā Pašvaldībā saņemts </w:t>
      </w:r>
      <w:r w:rsidR="007E7EC0">
        <w:rPr>
          <w:color w:val="000000" w:themeColor="text1"/>
        </w:rPr>
        <w:t>[Vārds, Uzvārds]</w:t>
      </w:r>
      <w:r w:rsidR="00B932EA" w:rsidRPr="006739E0">
        <w:rPr>
          <w:color w:val="000000" w:themeColor="text1"/>
        </w:rPr>
        <w:t xml:space="preserve"> iesniegums (reģistrēts Pašvaldībā ar Nr.2-4.2/1518), kurā informēts, ka Paredzētā darbība tiks kompensēta ar ieaudzēto </w:t>
      </w:r>
      <w:r w:rsidR="00B932EA" w:rsidRPr="00B932EA">
        <w:t xml:space="preserve">meža platību </w:t>
      </w:r>
      <w:r w:rsidR="00B932EA">
        <w:t xml:space="preserve">nekustamā īpašuma </w:t>
      </w:r>
      <w:r w:rsidR="00B932EA" w:rsidRPr="00B932EA">
        <w:t>„Birztalas”,</w:t>
      </w:r>
      <w:r w:rsidR="001F1302">
        <w:t xml:space="preserve"> Birzgales pag., Ogres nov.,</w:t>
      </w:r>
      <w:r w:rsidR="00B932EA" w:rsidRPr="00B932EA">
        <w:t xml:space="preserve"> kadastra numurs 7444</w:t>
      </w:r>
      <w:r w:rsidR="00DF50FF">
        <w:t> </w:t>
      </w:r>
      <w:r w:rsidR="00B932EA" w:rsidRPr="00B932EA">
        <w:t xml:space="preserve">011 0118, </w:t>
      </w:r>
      <w:r w:rsidR="001F1302">
        <w:t xml:space="preserve">sastāvā esošajā zemes vienībā ar kadastra apzīmējumu </w:t>
      </w:r>
      <w:r w:rsidR="001F1302" w:rsidRPr="001F1302">
        <w:t>74440110118</w:t>
      </w:r>
      <w:r w:rsidR="00DF50FF">
        <w:t>.</w:t>
      </w:r>
      <w:r w:rsidR="006739E0">
        <w:t xml:space="preserve"> Ņemot vērā, ka </w:t>
      </w:r>
      <w:r w:rsidR="007E7EC0">
        <w:t>[Vārds, Uzvārds]</w:t>
      </w:r>
      <w:r w:rsidR="006739E0">
        <w:t xml:space="preserve"> plāno kompensēt ar Paredzēto darbību izraisītās negatīvās sekas, ieaudzējot mežu, Pašvaldībā nav jāiesniedz mērnieka izgatavotais ierīkojamās lauksaimniecības zemes (atmežojamās platības) izvietojuma plāns. </w:t>
      </w:r>
    </w:p>
    <w:p w14:paraId="50E221FB" w14:textId="77777777" w:rsidR="004176A1" w:rsidRDefault="006739E0" w:rsidP="004176A1">
      <w:pPr>
        <w:spacing w:after="20" w:line="276" w:lineRule="auto"/>
        <w:ind w:firstLine="567"/>
        <w:jc w:val="both"/>
      </w:pPr>
      <w:r w:rsidRPr="0014049A">
        <w:rPr>
          <w:b/>
          <w:bCs/>
        </w:rPr>
        <w:t>[7]</w:t>
      </w:r>
      <w:r w:rsidRPr="0014049A">
        <w:t xml:space="preserve"> Saskaņā ar Ministru kabineta 2012.gada 18.decembra noteikumu Nr.889 “Noteikumi par atmežošanas kompensācijas noteikšanas kritērijiem, aprēķināšanas un atlīdzināšanas kārtību” 4.punktu atmežošanas izraisīto oglekļa dioksīda piesaistes potenciāla samazināšanos var pilnībā vai daļēji kompensēt, ieaudzējot mežu (izņemot plantācijas mežu) (turpmāk – kompensējamā m</w:t>
      </w:r>
      <w:r w:rsidRPr="0014049A">
        <w:rPr>
          <w:color w:val="000000" w:themeColor="text1"/>
        </w:rPr>
        <w:t xml:space="preserve">ežaudze). Attiecīgā persona tiesīga pati izvēlēties meža ieaudzēšanas vietu ar </w:t>
      </w:r>
      <w:r w:rsidRPr="0014049A">
        <w:rPr>
          <w:color w:val="000000" w:themeColor="text1"/>
        </w:rPr>
        <w:lastRenderedPageBreak/>
        <w:t xml:space="preserve">nosacījumu, ka ieaudzētā meža platībai jābūt ne mazākai par 0,1 hektāru. Kompensējamās mežaudzes platība, kas pārsniedz meža platību, kuru plānots atmežot, ir izmantojama kā kompensējamā </w:t>
      </w:r>
      <w:r w:rsidRPr="0014049A">
        <w:t>mežaudze citām</w:t>
      </w:r>
      <w:r w:rsidRPr="00DA3C92">
        <w:t xml:space="preserve"> atmežošanai plānotajām platībām.</w:t>
      </w:r>
    </w:p>
    <w:p w14:paraId="69C7D032" w14:textId="77777777" w:rsidR="004176A1" w:rsidRDefault="00582704" w:rsidP="004176A1">
      <w:pPr>
        <w:spacing w:after="20" w:line="276" w:lineRule="auto"/>
        <w:ind w:firstLine="567"/>
        <w:jc w:val="both"/>
      </w:pPr>
      <w:r w:rsidRPr="00BE3F85">
        <w:rPr>
          <w:b/>
          <w:bCs/>
        </w:rPr>
        <w:t>[</w:t>
      </w:r>
      <w:r w:rsidR="006739E0" w:rsidRPr="00BE3F85">
        <w:rPr>
          <w:b/>
          <w:bCs/>
        </w:rPr>
        <w:t>8</w:t>
      </w:r>
      <w:r w:rsidRPr="00BE3F85">
        <w:rPr>
          <w:b/>
          <w:bCs/>
        </w:rPr>
        <w:t>]</w:t>
      </w:r>
      <w:r w:rsidRPr="006739E0">
        <w:t xml:space="preserve"> </w:t>
      </w:r>
      <w:r w:rsidR="0001732F" w:rsidRPr="006739E0">
        <w:t>MK noteikumu Nr.118 13.punkts noteic, ka pēc šo noteikumu 12.punktā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14.punkts noteic, ka darbības ierosinātājs triju darbdienu laikā pēc valstij atlīdzināmās kompensācijas samaksas iesniedz vietējā pašvaldībā informāciju par veikto maksājumu. Vietējā pašvaldība saskaņā ar šo noteikumu 7.punktu nekavējoties pieņem lēmumu par atļaujas (administratīvā akta) izdošanu.</w:t>
      </w:r>
    </w:p>
    <w:p w14:paraId="6C80E006" w14:textId="594C4D9D" w:rsidR="007018BC" w:rsidRDefault="006739E0" w:rsidP="004176A1">
      <w:pPr>
        <w:spacing w:after="20" w:line="276" w:lineRule="auto"/>
        <w:ind w:firstLine="567"/>
        <w:jc w:val="both"/>
      </w:pPr>
      <w:r w:rsidRPr="00BE3F85">
        <w:rPr>
          <w:b/>
          <w:bCs/>
        </w:rPr>
        <w:t>[9]</w:t>
      </w:r>
      <w:r>
        <w:t xml:space="preserve"> VMD </w:t>
      </w:r>
      <w:r w:rsidR="007018BC">
        <w:t xml:space="preserve">Rīgas reģionālā </w:t>
      </w:r>
      <w:r w:rsidR="007018BC" w:rsidRPr="00DE3C8F">
        <w:t xml:space="preserve">virsmežniecība 2023.gada 14.augusta vēstulē (reģistrēta Pašvaldībā ar Nr.2-4.1/4107) sniedza informāciju par valstij maksājamās atmežojamās platības kompensācijas apmēru.  2023.gada 14.augustā </w:t>
      </w:r>
      <w:r w:rsidR="007E7EC0">
        <w:t xml:space="preserve">[Vārds, </w:t>
      </w:r>
      <w:proofErr w:type="spellStart"/>
      <w:r w:rsidR="007E7EC0">
        <w:t>Uzvards</w:t>
      </w:r>
      <w:proofErr w:type="spellEnd"/>
      <w:r w:rsidR="007E7EC0">
        <w:t>]</w:t>
      </w:r>
      <w:r w:rsidR="007018BC" w:rsidRPr="00DE3C8F">
        <w:t xml:space="preserve"> iesniedza Pašvaldībā maksājumu apliecinoš</w:t>
      </w:r>
      <w:r w:rsidR="00761B0B">
        <w:t>u</w:t>
      </w:r>
      <w:r w:rsidR="007018BC" w:rsidRPr="00DE3C8F">
        <w:t xml:space="preserve"> dokumentu (reģistrēts Pašvaldībā ar Nr.</w:t>
      </w:r>
      <w:r w:rsidR="00DE3C8F" w:rsidRPr="00DE3C8F">
        <w:t xml:space="preserve"> 2-4.3/1623</w:t>
      </w:r>
      <w:r w:rsidR="007018BC" w:rsidRPr="00DE3C8F">
        <w:t>).</w:t>
      </w:r>
    </w:p>
    <w:p w14:paraId="4090FE1C" w14:textId="35458543" w:rsidR="0001732F" w:rsidRDefault="0001732F" w:rsidP="00907453">
      <w:pPr>
        <w:pStyle w:val="NormalWeb"/>
        <w:spacing w:before="0" w:beforeAutospacing="0" w:after="60" w:afterAutospacing="0" w:line="276" w:lineRule="auto"/>
        <w:ind w:firstLine="567"/>
        <w:jc w:val="both"/>
      </w:pPr>
      <w:r>
        <w:t>Ņemot vērā minēto un pamatoj</w:t>
      </w:r>
      <w:r w:rsidRPr="00582704">
        <w:t>oties uz</w:t>
      </w:r>
      <w:r w:rsidR="00901281" w:rsidRPr="00582704">
        <w:t xml:space="preserve"> Pašvaldību</w:t>
      </w:r>
      <w:r w:rsidR="00582704">
        <w:t xml:space="preserve"> </w:t>
      </w:r>
      <w:r w:rsidR="00901281" w:rsidRPr="00582704">
        <w:t>likuma</w:t>
      </w:r>
      <w:r w:rsidR="00582704">
        <w:t xml:space="preserve"> </w:t>
      </w:r>
      <w:r w:rsidR="00901281" w:rsidRPr="00582704">
        <w:t xml:space="preserve">10.panta pirmās daļas </w:t>
      </w:r>
      <w:r w:rsidRPr="00582704">
        <w:t xml:space="preserve"> </w:t>
      </w:r>
      <w:r w:rsidR="00901281" w:rsidRPr="00582704">
        <w:t xml:space="preserve">21.punktu, </w:t>
      </w:r>
      <w:r w:rsidRPr="00582704">
        <w:t xml:space="preserve">Meža likuma 41.panta pirmo daļu, </w:t>
      </w:r>
      <w:r w:rsidR="00901281" w:rsidRPr="00582704">
        <w:t>M</w:t>
      </w:r>
      <w:r w:rsidRPr="00582704">
        <w:t>inistru kabineta 2013.gada 5.marta noteikumu Nr.118 “Kārtība, kādā lauksaimniecībā izmantojamo zemi ierīko mežā</w:t>
      </w:r>
      <w:r>
        <w:t>, kā arī izsniedz atļauju tā</w:t>
      </w:r>
      <w:r w:rsidRPr="004E26AC">
        <w:t>s ierīkošanai”</w:t>
      </w:r>
      <w:r>
        <w:t xml:space="preserve"> 7.punktu, 14.punktu Ministru kabineta 2012.gada 18.decembra noteikumu Nr.889 “Noteikumi par atmežošanas kompensācijas noteikšanas kritērijiem, aprēķināšanas un atlīdzināšanas kārtību” 18.punktu, </w:t>
      </w:r>
    </w:p>
    <w:p w14:paraId="15715589" w14:textId="77777777" w:rsidR="0001732F" w:rsidRDefault="0001732F" w:rsidP="0001732F">
      <w:pPr>
        <w:pStyle w:val="NormalWeb"/>
        <w:spacing w:before="0" w:beforeAutospacing="0" w:after="0" w:afterAutospacing="0"/>
        <w:ind w:firstLine="567"/>
        <w:jc w:val="center"/>
      </w:pPr>
    </w:p>
    <w:p w14:paraId="44B09D3A" w14:textId="77777777" w:rsidR="00D651EC" w:rsidRPr="00D651EC" w:rsidRDefault="00D651EC" w:rsidP="00D651EC">
      <w:pPr>
        <w:jc w:val="center"/>
        <w:rPr>
          <w:b/>
          <w:iCs/>
          <w:color w:val="000000"/>
          <w:lang w:eastAsia="en-US"/>
        </w:rPr>
      </w:pPr>
      <w:r w:rsidRPr="00D651EC">
        <w:rPr>
          <w:b/>
          <w:iCs/>
          <w:color w:val="000000"/>
          <w:lang w:eastAsia="en-US"/>
        </w:rPr>
        <w:t xml:space="preserve">balsojot: </w:t>
      </w:r>
      <w:r w:rsidRPr="00D651EC">
        <w:rPr>
          <w:b/>
          <w:iCs/>
          <w:noProof/>
          <w:color w:val="000000"/>
          <w:lang w:eastAsia="en-US"/>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D651EC">
        <w:rPr>
          <w:b/>
          <w:iCs/>
          <w:color w:val="000000"/>
          <w:lang w:eastAsia="en-US"/>
        </w:rPr>
        <w:t xml:space="preserve"> </w:t>
      </w:r>
    </w:p>
    <w:p w14:paraId="468C811A" w14:textId="77777777" w:rsidR="00D651EC" w:rsidRPr="00D651EC" w:rsidRDefault="00D651EC" w:rsidP="00D651EC">
      <w:pPr>
        <w:jc w:val="center"/>
        <w:rPr>
          <w:b/>
          <w:iCs/>
          <w:color w:val="000000"/>
          <w:lang w:eastAsia="en-US"/>
        </w:rPr>
      </w:pPr>
      <w:r w:rsidRPr="00D651EC">
        <w:rPr>
          <w:iCs/>
          <w:color w:val="000000"/>
          <w:lang w:eastAsia="en-US"/>
        </w:rPr>
        <w:t>Ogres novada pašvaldības dome</w:t>
      </w:r>
      <w:r w:rsidRPr="00D651EC">
        <w:rPr>
          <w:b/>
          <w:iCs/>
          <w:color w:val="000000"/>
          <w:lang w:eastAsia="en-US"/>
        </w:rPr>
        <w:t xml:space="preserve"> NOLEMJ:</w:t>
      </w:r>
    </w:p>
    <w:p w14:paraId="7B3F027D" w14:textId="77777777" w:rsidR="0001732F" w:rsidRDefault="0001732F" w:rsidP="0001732F">
      <w:pPr>
        <w:jc w:val="both"/>
        <w:rPr>
          <w:b/>
          <w:lang w:eastAsia="en-US"/>
        </w:rPr>
      </w:pPr>
    </w:p>
    <w:p w14:paraId="15A1FE0E" w14:textId="4F82CD44" w:rsidR="00907453" w:rsidRDefault="0001732F" w:rsidP="00A67F1E">
      <w:pPr>
        <w:spacing w:after="60" w:line="276" w:lineRule="auto"/>
        <w:ind w:left="567" w:hanging="567"/>
        <w:jc w:val="both"/>
      </w:pPr>
      <w:r>
        <w:t xml:space="preserve">1. </w:t>
      </w:r>
      <w:r w:rsidRPr="001E70B1">
        <w:rPr>
          <w:b/>
        </w:rPr>
        <w:t>Atļaut</w:t>
      </w:r>
      <w:r>
        <w:t xml:space="preserve"> </w:t>
      </w:r>
      <w:r w:rsidR="007E7EC0">
        <w:t>[Vārds, Uzvārds]</w:t>
      </w:r>
      <w:r w:rsidR="00907453">
        <w:t xml:space="preserve"> </w:t>
      </w:r>
      <w:r>
        <w:t xml:space="preserve">veikt lauksaimniecības zemes ierīkošanu </w:t>
      </w:r>
      <w:r w:rsidR="00907453" w:rsidRPr="00907453">
        <w:t>nekustamā īpašuma “Lindes parks”, Birzgales pag., Ogres nov., kadastra Nr.74440010134, sastāvā esošajā zemes vienībā ar kadastra apzīmējumu 74440010134</w:t>
      </w:r>
      <w:r w:rsidR="00907453">
        <w:t xml:space="preserve"> </w:t>
      </w:r>
      <w:r w:rsidR="00907453" w:rsidRPr="00907453">
        <w:t>meža 1.kvartāla 1.nogabalā 0,44 ha platībā</w:t>
      </w:r>
      <w:r w:rsidR="00907453">
        <w:t xml:space="preserve"> saskaņā ar atmežojamās meža zemes skici (pielikumā). </w:t>
      </w:r>
    </w:p>
    <w:p w14:paraId="2003A1CC" w14:textId="6FEC6EA1" w:rsidR="004176A1" w:rsidRDefault="0001732F" w:rsidP="004176A1">
      <w:pPr>
        <w:spacing w:after="60" w:line="276" w:lineRule="auto"/>
        <w:ind w:left="567" w:hanging="567"/>
        <w:jc w:val="both"/>
      </w:pPr>
      <w:r>
        <w:t xml:space="preserve">2. </w:t>
      </w:r>
      <w:r w:rsidRPr="001E70B1">
        <w:rPr>
          <w:b/>
        </w:rPr>
        <w:t xml:space="preserve">Uzdot </w:t>
      </w:r>
      <w:r>
        <w:t xml:space="preserve">Ogres novada pašvaldības centrālās administrācijas </w:t>
      </w:r>
      <w:r w:rsidR="00907453">
        <w:t xml:space="preserve">Kancelejai </w:t>
      </w:r>
      <w:r>
        <w:t xml:space="preserve">nosūtīt šo lēmumu </w:t>
      </w:r>
      <w:r w:rsidR="007E7EC0">
        <w:t>[Vārds, U</w:t>
      </w:r>
      <w:bookmarkStart w:id="0" w:name="_GoBack"/>
      <w:bookmarkEnd w:id="0"/>
      <w:r w:rsidR="007E7EC0">
        <w:t>zvārds]</w:t>
      </w:r>
      <w:r w:rsidR="00907453">
        <w:t>.</w:t>
      </w:r>
    </w:p>
    <w:p w14:paraId="77365B51" w14:textId="1405AA82" w:rsidR="004176A1" w:rsidRDefault="004176A1" w:rsidP="004176A1">
      <w:pPr>
        <w:spacing w:after="60" w:line="276" w:lineRule="auto"/>
        <w:ind w:left="567" w:hanging="567"/>
        <w:jc w:val="both"/>
      </w:pPr>
      <w:r>
        <w:t xml:space="preserve">3. </w:t>
      </w:r>
      <w:r w:rsidRPr="004176A1">
        <w:rPr>
          <w:b/>
        </w:rPr>
        <w:t xml:space="preserve">Uzdot </w:t>
      </w:r>
      <w:r>
        <w:t>Ogres novada pašvaldības centrālās administrācijas Attīstības un plānošanas nodaļai informēt Valsts meža dienestu par izdoto administratīvo aktu.</w:t>
      </w:r>
    </w:p>
    <w:p w14:paraId="58EE73E8" w14:textId="20ACCCA8" w:rsidR="0001732F" w:rsidRDefault="004176A1" w:rsidP="0001732F">
      <w:pPr>
        <w:spacing w:line="276" w:lineRule="auto"/>
        <w:ind w:left="567" w:hanging="567"/>
        <w:jc w:val="both"/>
      </w:pPr>
      <w:r>
        <w:t>4</w:t>
      </w:r>
      <w:r w:rsidR="0001732F">
        <w:t xml:space="preserve">. </w:t>
      </w:r>
      <w:r w:rsidR="0001732F" w:rsidRPr="001E70B1">
        <w:rPr>
          <w:b/>
        </w:rPr>
        <w:t>Kontroli</w:t>
      </w:r>
      <w:r w:rsidR="0001732F" w:rsidRPr="005B4F80">
        <w:t xml:space="preserve"> </w:t>
      </w:r>
      <w:r w:rsidR="0001732F" w:rsidRPr="00B95979">
        <w:t xml:space="preserve">par lēmuma izpildi uzdot </w:t>
      </w:r>
      <w:r>
        <w:t xml:space="preserve">Ogres novada </w:t>
      </w:r>
      <w:r w:rsidR="0001732F" w:rsidRPr="00B95979">
        <w:t>pašvaldības</w:t>
      </w:r>
      <w:r w:rsidR="0001732F">
        <w:t xml:space="preserve"> izpilddirektoram.</w:t>
      </w:r>
    </w:p>
    <w:p w14:paraId="20341C0E" w14:textId="0A250275" w:rsidR="004176A1" w:rsidRDefault="004176A1" w:rsidP="0001732F">
      <w:pPr>
        <w:spacing w:line="276" w:lineRule="auto"/>
        <w:ind w:left="567" w:hanging="567"/>
        <w:jc w:val="both"/>
      </w:pPr>
    </w:p>
    <w:p w14:paraId="48DBECEA" w14:textId="381C9F81" w:rsidR="004176A1" w:rsidRDefault="004176A1" w:rsidP="0001732F">
      <w:pPr>
        <w:spacing w:line="276" w:lineRule="auto"/>
        <w:ind w:left="567" w:hanging="567"/>
        <w:jc w:val="both"/>
      </w:pPr>
    </w:p>
    <w:p w14:paraId="0D7438F9" w14:textId="77777777" w:rsidR="004176A1" w:rsidRPr="00563B96" w:rsidRDefault="004176A1" w:rsidP="004176A1">
      <w:pPr>
        <w:pStyle w:val="Default"/>
        <w:spacing w:line="20" w:lineRule="atLeast"/>
        <w:ind w:firstLine="709"/>
        <w:jc w:val="both"/>
        <w:rPr>
          <w:i/>
          <w:iCs/>
          <w:color w:val="auto"/>
        </w:rPr>
      </w:pPr>
      <w:r w:rsidRPr="00563B96">
        <w:rPr>
          <w:i/>
          <w:iCs/>
          <w:color w:val="auto"/>
        </w:rPr>
        <w:t>Atbilstoši Administratīvā procesa likuma 70.panta pirmajai un otrajai daļai administratīvais akts stājas spēkā ar brīdi, kad tas paziņots adresātam atbilstoši Paziņošanas likuma</w:t>
      </w:r>
      <w:r>
        <w:rPr>
          <w:i/>
          <w:iCs/>
          <w:color w:val="auto"/>
        </w:rPr>
        <w:t>m.</w:t>
      </w:r>
      <w:r w:rsidRPr="00563B96">
        <w:rPr>
          <w:i/>
          <w:iCs/>
          <w:color w:val="auto"/>
        </w:rPr>
        <w:t xml:space="preserve"> </w:t>
      </w:r>
    </w:p>
    <w:p w14:paraId="3EBA51F8" w14:textId="77777777" w:rsidR="004176A1" w:rsidRPr="00DE24B6" w:rsidRDefault="004176A1" w:rsidP="004176A1">
      <w:pPr>
        <w:tabs>
          <w:tab w:val="left" w:pos="709"/>
          <w:tab w:val="left" w:pos="993"/>
        </w:tabs>
        <w:snapToGrid w:val="0"/>
        <w:ind w:firstLine="142"/>
        <w:jc w:val="both"/>
        <w:rPr>
          <w:rFonts w:cs="Tahoma"/>
          <w:bCs/>
          <w:i/>
          <w:iCs/>
          <w:szCs w:val="22"/>
          <w:lang w:eastAsia="en-US"/>
        </w:rPr>
      </w:pPr>
      <w:r>
        <w:rPr>
          <w:i/>
          <w:iCs/>
        </w:rPr>
        <w:t xml:space="preserve">     </w:t>
      </w:r>
      <w:r w:rsidRPr="00DE24B6">
        <w:rPr>
          <w:i/>
          <w:iCs/>
        </w:rPr>
        <w:t xml:space="preserve">   </w:t>
      </w:r>
      <w:r w:rsidRPr="00DE24B6">
        <w:rPr>
          <w:i/>
          <w:iCs/>
          <w:lang w:eastAsia="en-US"/>
        </w:rPr>
        <w:t xml:space="preserve">Lēmumu var pārsūdzēt viena mēneša laikā no tā spēkā stāšanās dienas Administratīvajā rajona tiesā attiecīgajā tiesu namā pēc pieteicēja adreses (fiziskā persona - pēc deklarētās </w:t>
      </w:r>
      <w:r w:rsidRPr="00DE24B6">
        <w:rPr>
          <w:i/>
          <w:iCs/>
          <w:lang w:eastAsia="en-US"/>
        </w:rPr>
        <w:lastRenderedPageBreak/>
        <w:t>dzīvesvietas, papildu adreses vai nekustamā īpašuma atrašanās vietas, juridiskā persona - pēc juridiskās adreses).</w:t>
      </w:r>
    </w:p>
    <w:p w14:paraId="3B2D02B0" w14:textId="77777777" w:rsidR="0001732F" w:rsidRDefault="0001732F" w:rsidP="004176A1">
      <w:pPr>
        <w:pStyle w:val="BodyTextIndent2"/>
        <w:ind w:left="0"/>
      </w:pPr>
    </w:p>
    <w:p w14:paraId="292C12B5" w14:textId="77777777" w:rsidR="00D651EC" w:rsidRDefault="00D651EC" w:rsidP="0001732F">
      <w:pPr>
        <w:pStyle w:val="BodyTextIndent2"/>
        <w:ind w:left="215"/>
        <w:jc w:val="right"/>
      </w:pPr>
    </w:p>
    <w:p w14:paraId="48CCF5B9" w14:textId="77777777" w:rsidR="0001732F" w:rsidRPr="00B512D4" w:rsidRDefault="0001732F" w:rsidP="0001732F">
      <w:pPr>
        <w:pStyle w:val="BodyTextIndent2"/>
        <w:ind w:left="215"/>
        <w:jc w:val="right"/>
      </w:pPr>
      <w:r w:rsidRPr="00B512D4">
        <w:t>(Sēdes vadītāja,</w:t>
      </w:r>
    </w:p>
    <w:p w14:paraId="77669BD5" w14:textId="323EAAD2" w:rsidR="005248CE" w:rsidRDefault="0001732F" w:rsidP="004176A1">
      <w:pPr>
        <w:pStyle w:val="BodyTextIndent2"/>
        <w:ind w:left="215"/>
        <w:jc w:val="right"/>
      </w:pPr>
      <w:r w:rsidRPr="00665BCF">
        <w:t>domes priekšsēdētāja</w:t>
      </w:r>
      <w:r w:rsidR="00D651EC">
        <w:t xml:space="preserve"> vietnieka</w:t>
      </w:r>
      <w:r>
        <w:t xml:space="preserve"> </w:t>
      </w:r>
      <w:proofErr w:type="spellStart"/>
      <w:r w:rsidR="00D651EC">
        <w:t>G.Sīviņa</w:t>
      </w:r>
      <w:proofErr w:type="spellEnd"/>
      <w:r w:rsidRPr="00665BCF">
        <w:t xml:space="preserve"> paraksts)</w:t>
      </w:r>
    </w:p>
    <w:sectPr w:rsidR="005248CE" w:rsidSect="00C5355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4695B" w14:textId="77777777" w:rsidR="00D34D69" w:rsidRDefault="00D34D69">
      <w:r>
        <w:separator/>
      </w:r>
    </w:p>
  </w:endnote>
  <w:endnote w:type="continuationSeparator" w:id="0">
    <w:p w14:paraId="33CBAB37" w14:textId="77777777" w:rsidR="00D34D69" w:rsidRDefault="00D3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7B1A" w14:textId="77777777" w:rsidR="00507F60" w:rsidRDefault="007E7EC0">
    <w:pPr>
      <w:pStyle w:val="Footer"/>
      <w:jc w:val="center"/>
    </w:pPr>
  </w:p>
  <w:p w14:paraId="5C8569F0" w14:textId="77777777" w:rsidR="00507F60" w:rsidRDefault="007E7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91AA5" w14:textId="77777777" w:rsidR="00D34D69" w:rsidRDefault="00D34D69">
      <w:r>
        <w:separator/>
      </w:r>
    </w:p>
  </w:footnote>
  <w:footnote w:type="continuationSeparator" w:id="0">
    <w:p w14:paraId="463D36A2" w14:textId="77777777" w:rsidR="00D34D69" w:rsidRDefault="00D34D69">
      <w:r>
        <w:continuationSeparator/>
      </w:r>
    </w:p>
  </w:footnote>
  <w:footnote w:id="1">
    <w:p w14:paraId="46507AF1" w14:textId="77777777" w:rsidR="005C76D7" w:rsidRDefault="005C76D7" w:rsidP="005C76D7">
      <w:pPr>
        <w:pStyle w:val="FootnoteText"/>
      </w:pPr>
      <w:r>
        <w:rPr>
          <w:rStyle w:val="FootnoteReference"/>
        </w:rPr>
        <w:footnoteRef/>
      </w:r>
      <w:r>
        <w:t xml:space="preserve"> </w:t>
      </w:r>
      <w:hyperlink r:id="rId1" w:history="1">
        <w:r w:rsidRPr="0066230E">
          <w:rPr>
            <w:rStyle w:val="Hyperlink"/>
          </w:rPr>
          <w:t>https://tapis.gov.lv/tapis/lv/downloads/23374</w:t>
        </w:r>
      </w:hyperlink>
      <w:r>
        <w:t xml:space="preserve"> </w:t>
      </w:r>
    </w:p>
  </w:footnote>
  <w:footnote w:id="2">
    <w:p w14:paraId="188957A1" w14:textId="77777777" w:rsidR="005C76D7" w:rsidRDefault="005C76D7" w:rsidP="005C76D7">
      <w:pPr>
        <w:pStyle w:val="FootnoteText"/>
      </w:pPr>
      <w:r>
        <w:rPr>
          <w:rStyle w:val="FootnoteReference"/>
        </w:rPr>
        <w:footnoteRef/>
      </w:r>
      <w:r>
        <w:t xml:space="preserve"> </w:t>
      </w:r>
      <w:hyperlink r:id="rId2" w:history="1">
        <w:r w:rsidRPr="0066230E">
          <w:rPr>
            <w:rStyle w:val="Hyperlink"/>
          </w:rPr>
          <w:t>https://tapis.gov.lv/tapis/lv/downloads/23364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hybridMultilevel"/>
    <w:tmpl w:val="D2AA46F0"/>
    <w:lvl w:ilvl="0" w:tplc="F55C8716">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DE6900"/>
    <w:multiLevelType w:val="hybridMultilevel"/>
    <w:tmpl w:val="D2DA718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139EE"/>
    <w:rsid w:val="0001732F"/>
    <w:rsid w:val="000637C1"/>
    <w:rsid w:val="0014049A"/>
    <w:rsid w:val="001433BA"/>
    <w:rsid w:val="001F1302"/>
    <w:rsid w:val="002600EF"/>
    <w:rsid w:val="002E4EBB"/>
    <w:rsid w:val="003502C2"/>
    <w:rsid w:val="003C0689"/>
    <w:rsid w:val="003C7D9B"/>
    <w:rsid w:val="004176A1"/>
    <w:rsid w:val="0050078F"/>
    <w:rsid w:val="005248CE"/>
    <w:rsid w:val="00582704"/>
    <w:rsid w:val="005C76D7"/>
    <w:rsid w:val="00601344"/>
    <w:rsid w:val="006739E0"/>
    <w:rsid w:val="006F6F40"/>
    <w:rsid w:val="007018BC"/>
    <w:rsid w:val="00761B0B"/>
    <w:rsid w:val="007E7EC0"/>
    <w:rsid w:val="00880096"/>
    <w:rsid w:val="00901281"/>
    <w:rsid w:val="00907453"/>
    <w:rsid w:val="00941AD1"/>
    <w:rsid w:val="00A67F1E"/>
    <w:rsid w:val="00AF26B0"/>
    <w:rsid w:val="00B2035B"/>
    <w:rsid w:val="00B932EA"/>
    <w:rsid w:val="00BD7843"/>
    <w:rsid w:val="00BE3F85"/>
    <w:rsid w:val="00C015FC"/>
    <w:rsid w:val="00C0362D"/>
    <w:rsid w:val="00D34D69"/>
    <w:rsid w:val="00D651EC"/>
    <w:rsid w:val="00DA3C92"/>
    <w:rsid w:val="00DC5593"/>
    <w:rsid w:val="00DD05E1"/>
    <w:rsid w:val="00DE3C8F"/>
    <w:rsid w:val="00DF50FF"/>
    <w:rsid w:val="00E527E2"/>
    <w:rsid w:val="00ED5E54"/>
    <w:rsid w:val="00F3431E"/>
    <w:rsid w:val="00F96968"/>
    <w:rsid w:val="00FD3CD8"/>
    <w:rsid w:val="00FE20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EBE5"/>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Heading4">
    <w:name w:val="heading 4"/>
    <w:basedOn w:val="Normal"/>
    <w:next w:val="Normal"/>
    <w:link w:val="Heading4Char"/>
    <w:qFormat/>
    <w:rsid w:val="0001732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732F"/>
    <w:rPr>
      <w:rFonts w:ascii="Times New Roman" w:eastAsia="Times New Roman" w:hAnsi="Times New Roman" w:cs="Times New Roman"/>
      <w:b/>
      <w:bCs/>
      <w:sz w:val="28"/>
      <w:szCs w:val="28"/>
      <w:lang w:eastAsia="lv-LV"/>
    </w:rPr>
  </w:style>
  <w:style w:type="paragraph" w:styleId="BodyTextIndent2">
    <w:name w:val="Body Text Indent 2"/>
    <w:basedOn w:val="Normal"/>
    <w:link w:val="BodyTextIndent2Char"/>
    <w:rsid w:val="0001732F"/>
    <w:pPr>
      <w:ind w:left="-142"/>
      <w:jc w:val="both"/>
    </w:pPr>
    <w:rPr>
      <w:szCs w:val="20"/>
      <w:lang w:eastAsia="en-US"/>
    </w:rPr>
  </w:style>
  <w:style w:type="character" w:customStyle="1" w:styleId="BodyTextIndent2Char">
    <w:name w:val="Body Text Indent 2 Char"/>
    <w:basedOn w:val="DefaultParagraphFont"/>
    <w:link w:val="BodyTextIndent2"/>
    <w:rsid w:val="0001732F"/>
    <w:rPr>
      <w:rFonts w:ascii="Times New Roman" w:eastAsia="Times New Roman" w:hAnsi="Times New Roman" w:cs="Times New Roman"/>
      <w:sz w:val="24"/>
      <w:szCs w:val="20"/>
    </w:rPr>
  </w:style>
  <w:style w:type="paragraph" w:styleId="Footer">
    <w:name w:val="footer"/>
    <w:basedOn w:val="Normal"/>
    <w:link w:val="FooterChar"/>
    <w:uiPriority w:val="99"/>
    <w:rsid w:val="0001732F"/>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1732F"/>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01732F"/>
    <w:pPr>
      <w:spacing w:before="100" w:beforeAutospacing="1" w:after="100" w:afterAutospacing="1"/>
    </w:pPr>
  </w:style>
  <w:style w:type="character" w:styleId="Hyperlink">
    <w:name w:val="Hyperlink"/>
    <w:basedOn w:val="DefaultParagraphFont"/>
    <w:uiPriority w:val="99"/>
    <w:unhideWhenUsed/>
    <w:rsid w:val="00C0362D"/>
    <w:rPr>
      <w:color w:val="0563C1" w:themeColor="hyperlink"/>
      <w:u w:val="single"/>
    </w:rPr>
  </w:style>
  <w:style w:type="paragraph" w:styleId="FootnoteText">
    <w:name w:val="footnote text"/>
    <w:basedOn w:val="Normal"/>
    <w:link w:val="FootnoteTextChar"/>
    <w:uiPriority w:val="99"/>
    <w:unhideWhenUsed/>
    <w:rsid w:val="005C76D7"/>
    <w:pPr>
      <w:ind w:firstLine="567"/>
      <w:jc w:val="both"/>
    </w:pPr>
    <w:rPr>
      <w:rFonts w:eastAsia="Calibri"/>
      <w:sz w:val="20"/>
      <w:szCs w:val="20"/>
      <w:lang w:eastAsia="en-US"/>
    </w:rPr>
  </w:style>
  <w:style w:type="character" w:customStyle="1" w:styleId="FootnoteTextChar">
    <w:name w:val="Footnote Text Char"/>
    <w:basedOn w:val="DefaultParagraphFont"/>
    <w:link w:val="FootnoteText"/>
    <w:uiPriority w:val="99"/>
    <w:rsid w:val="005C76D7"/>
    <w:rPr>
      <w:rFonts w:ascii="Times New Roman" w:eastAsia="Calibri" w:hAnsi="Times New Roman" w:cs="Times New Roman"/>
      <w:sz w:val="20"/>
      <w:szCs w:val="20"/>
    </w:rPr>
  </w:style>
  <w:style w:type="character" w:styleId="FootnoteReference">
    <w:name w:val="footnote reference"/>
    <w:uiPriority w:val="99"/>
    <w:unhideWhenUsed/>
    <w:rsid w:val="005C76D7"/>
    <w:rPr>
      <w:vertAlign w:val="superscript"/>
    </w:rPr>
  </w:style>
  <w:style w:type="character" w:styleId="FollowedHyperlink">
    <w:name w:val="FollowedHyperlink"/>
    <w:basedOn w:val="DefaultParagraphFont"/>
    <w:uiPriority w:val="99"/>
    <w:semiHidden/>
    <w:unhideWhenUsed/>
    <w:rsid w:val="000637C1"/>
    <w:rPr>
      <w:color w:val="954F72" w:themeColor="followedHyperlink"/>
      <w:u w:val="single"/>
    </w:rPr>
  </w:style>
  <w:style w:type="paragraph" w:styleId="EndnoteText">
    <w:name w:val="endnote text"/>
    <w:basedOn w:val="Normal"/>
    <w:link w:val="EndnoteTextChar"/>
    <w:uiPriority w:val="99"/>
    <w:semiHidden/>
    <w:unhideWhenUsed/>
    <w:rsid w:val="00F3431E"/>
    <w:rPr>
      <w:sz w:val="20"/>
      <w:szCs w:val="20"/>
    </w:rPr>
  </w:style>
  <w:style w:type="character" w:customStyle="1" w:styleId="EndnoteTextChar">
    <w:name w:val="Endnote Text Char"/>
    <w:basedOn w:val="DefaultParagraphFont"/>
    <w:link w:val="EndnoteText"/>
    <w:uiPriority w:val="99"/>
    <w:semiHidden/>
    <w:rsid w:val="00F3431E"/>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F3431E"/>
    <w:rPr>
      <w:vertAlign w:val="superscript"/>
    </w:rPr>
  </w:style>
  <w:style w:type="character" w:styleId="CommentReference">
    <w:name w:val="annotation reference"/>
    <w:basedOn w:val="DefaultParagraphFont"/>
    <w:uiPriority w:val="99"/>
    <w:semiHidden/>
    <w:unhideWhenUsed/>
    <w:rsid w:val="00880096"/>
    <w:rPr>
      <w:sz w:val="16"/>
      <w:szCs w:val="16"/>
    </w:rPr>
  </w:style>
  <w:style w:type="paragraph" w:styleId="CommentText">
    <w:name w:val="annotation text"/>
    <w:basedOn w:val="Normal"/>
    <w:link w:val="CommentTextChar"/>
    <w:uiPriority w:val="99"/>
    <w:semiHidden/>
    <w:unhideWhenUsed/>
    <w:rsid w:val="00880096"/>
    <w:rPr>
      <w:sz w:val="20"/>
      <w:szCs w:val="20"/>
    </w:rPr>
  </w:style>
  <w:style w:type="character" w:customStyle="1" w:styleId="CommentTextChar">
    <w:name w:val="Comment Text Char"/>
    <w:basedOn w:val="DefaultParagraphFont"/>
    <w:link w:val="CommentText"/>
    <w:uiPriority w:val="99"/>
    <w:semiHidden/>
    <w:rsid w:val="0088009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80096"/>
    <w:rPr>
      <w:b/>
      <w:bCs/>
    </w:rPr>
  </w:style>
  <w:style w:type="character" w:customStyle="1" w:styleId="CommentSubjectChar">
    <w:name w:val="Comment Subject Char"/>
    <w:basedOn w:val="CommentTextChar"/>
    <w:link w:val="CommentSubject"/>
    <w:uiPriority w:val="99"/>
    <w:semiHidden/>
    <w:rsid w:val="00880096"/>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4176A1"/>
    <w:pPr>
      <w:ind w:left="720"/>
      <w:contextualSpacing/>
    </w:pPr>
  </w:style>
  <w:style w:type="paragraph" w:customStyle="1" w:styleId="Default">
    <w:name w:val="Default"/>
    <w:rsid w:val="004176A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7E7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EC0"/>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23364" TargetMode="External"/><Relationship Id="rId1" Type="http://schemas.openxmlformats.org/officeDocument/2006/relationships/hyperlink" Target="https://tapis.gov.lv/tapis/lv/downloads/23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6107</Words>
  <Characters>3482</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Arita Bauska</cp:lastModifiedBy>
  <cp:revision>3</cp:revision>
  <cp:lastPrinted>2023-09-01T12:32:00Z</cp:lastPrinted>
  <dcterms:created xsi:type="dcterms:W3CDTF">2023-09-01T12:22:00Z</dcterms:created>
  <dcterms:modified xsi:type="dcterms:W3CDTF">2023-09-01T12:32:00Z</dcterms:modified>
</cp:coreProperties>
</file>