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4A4149CD"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2E7C40" w:rsidRDefault="00341F7D" w:rsidP="00341F7D"/>
    <w:p w14:paraId="7A42EE53" w14:textId="77777777" w:rsidR="00341F7D" w:rsidRPr="002E7C40" w:rsidRDefault="00341F7D" w:rsidP="00341F7D">
      <w:pPr>
        <w:keepNext/>
        <w:jc w:val="center"/>
        <w:outlineLvl w:val="0"/>
        <w:rPr>
          <w:sz w:val="28"/>
          <w:szCs w:val="20"/>
        </w:rPr>
      </w:pPr>
      <w:r w:rsidRPr="002E7C40">
        <w:rPr>
          <w:sz w:val="28"/>
          <w:szCs w:val="20"/>
        </w:rPr>
        <w:t>PAŠVALDĪBAS DOMES SĒDES PROTOKOLA IZRAKSTS</w:t>
      </w:r>
    </w:p>
    <w:p w14:paraId="74BDD797" w14:textId="77777777" w:rsidR="00341F7D" w:rsidRPr="002E7C40" w:rsidRDefault="00341F7D" w:rsidP="00341F7D"/>
    <w:p w14:paraId="4D3F85B7" w14:textId="77777777" w:rsidR="00341F7D" w:rsidRDefault="00341F7D"/>
    <w:tbl>
      <w:tblPr>
        <w:tblW w:w="4958" w:type="pct"/>
        <w:tblLook w:val="0000" w:firstRow="0" w:lastRow="0" w:firstColumn="0" w:lastColumn="0" w:noHBand="0" w:noVBand="0"/>
      </w:tblPr>
      <w:tblGrid>
        <w:gridCol w:w="2997"/>
        <w:gridCol w:w="2999"/>
        <w:gridCol w:w="2999"/>
      </w:tblGrid>
      <w:tr w:rsidR="00E60D51" w:rsidRPr="007C3F26" w14:paraId="6B2E6CF5" w14:textId="77777777" w:rsidTr="002064A2">
        <w:trPr>
          <w:trHeight w:val="183"/>
        </w:trPr>
        <w:tc>
          <w:tcPr>
            <w:tcW w:w="1666" w:type="pct"/>
          </w:tcPr>
          <w:p w14:paraId="1EF26001" w14:textId="77777777" w:rsidR="00E60D51" w:rsidRPr="007C3F26" w:rsidRDefault="00E60D51" w:rsidP="002064A2">
            <w:r w:rsidRPr="007C3F26">
              <w:t>Ogrē, Brīvības ielā 33</w:t>
            </w:r>
          </w:p>
        </w:tc>
        <w:tc>
          <w:tcPr>
            <w:tcW w:w="1667" w:type="pct"/>
          </w:tcPr>
          <w:p w14:paraId="5359CEE5" w14:textId="06CDE5B8" w:rsidR="00E60D51" w:rsidRPr="007C3F26" w:rsidRDefault="00E60D51" w:rsidP="00723D50">
            <w:pPr>
              <w:pStyle w:val="Heading4"/>
              <w:spacing w:before="0" w:after="0"/>
              <w:jc w:val="center"/>
              <w:rPr>
                <w:sz w:val="24"/>
                <w:szCs w:val="24"/>
              </w:rPr>
            </w:pPr>
            <w:r>
              <w:rPr>
                <w:sz w:val="24"/>
                <w:szCs w:val="24"/>
              </w:rPr>
              <w:t>Nr</w:t>
            </w:r>
            <w:r w:rsidR="00723D50">
              <w:rPr>
                <w:sz w:val="24"/>
                <w:szCs w:val="24"/>
              </w:rPr>
              <w:t>.16</w:t>
            </w:r>
          </w:p>
        </w:tc>
        <w:tc>
          <w:tcPr>
            <w:tcW w:w="1667" w:type="pct"/>
          </w:tcPr>
          <w:p w14:paraId="3762FA70" w14:textId="1AB4D896" w:rsidR="00E60D51" w:rsidRPr="007C3F26" w:rsidRDefault="00E60D51" w:rsidP="002064A2">
            <w:pPr>
              <w:jc w:val="right"/>
            </w:pPr>
            <w:r w:rsidRPr="007C3F26">
              <w:t>202</w:t>
            </w:r>
            <w:r>
              <w:t>3</w:t>
            </w:r>
            <w:r w:rsidRPr="007C3F26">
              <w:t xml:space="preserve">.gada </w:t>
            </w:r>
            <w:r w:rsidR="00FD28FA">
              <w:t>28</w:t>
            </w:r>
            <w:r>
              <w:t>.</w:t>
            </w:r>
            <w:r w:rsidR="00FD28FA">
              <w:t>septembrī</w:t>
            </w:r>
            <w:r w:rsidRPr="007C3F26">
              <w:t xml:space="preserve"> </w:t>
            </w:r>
          </w:p>
        </w:tc>
      </w:tr>
    </w:tbl>
    <w:p w14:paraId="6F16DDC6" w14:textId="77777777" w:rsidR="00E60D51" w:rsidRDefault="00E60D51" w:rsidP="00E60D51">
      <w:pPr>
        <w:ind w:left="-142"/>
        <w:jc w:val="center"/>
        <w:rPr>
          <w:b/>
          <w:bCs/>
        </w:rPr>
      </w:pPr>
    </w:p>
    <w:p w14:paraId="5B46EEFD" w14:textId="23F26D6E" w:rsidR="00E60D51" w:rsidRPr="007C3F26" w:rsidRDefault="00723D50" w:rsidP="00E60D51">
      <w:pPr>
        <w:ind w:left="-142"/>
        <w:jc w:val="center"/>
        <w:rPr>
          <w:b/>
          <w:bCs/>
        </w:rPr>
      </w:pPr>
      <w:r>
        <w:rPr>
          <w:b/>
          <w:bCs/>
        </w:rPr>
        <w:t>8</w:t>
      </w:r>
      <w:r w:rsidR="007C0E83">
        <w:rPr>
          <w:b/>
          <w:bCs/>
        </w:rPr>
        <w:t>.</w:t>
      </w:r>
    </w:p>
    <w:p w14:paraId="4B4B35B4" w14:textId="5069A68C" w:rsidR="00E60D51" w:rsidRDefault="00E60D51" w:rsidP="00E60D51">
      <w:pPr>
        <w:tabs>
          <w:tab w:val="left" w:pos="3660"/>
          <w:tab w:val="center" w:pos="4082"/>
        </w:tabs>
        <w:ind w:left="-142"/>
        <w:jc w:val="center"/>
        <w:rPr>
          <w:b/>
          <w:u w:val="single"/>
        </w:rPr>
      </w:pPr>
      <w:bookmarkStart w:id="0" w:name="_Hlk92368678"/>
      <w:r w:rsidRPr="00227CA7">
        <w:rPr>
          <w:b/>
          <w:u w:val="single"/>
        </w:rPr>
        <w:t>Par detālplānojuma izstrādes uzsākšanu</w:t>
      </w:r>
      <w:r>
        <w:rPr>
          <w:b/>
          <w:u w:val="single"/>
        </w:rPr>
        <w:t xml:space="preserve"> nekustamajā īpašumā </w:t>
      </w:r>
      <w:r w:rsidR="009C061A">
        <w:rPr>
          <w:b/>
          <w:u w:val="single"/>
        </w:rPr>
        <w:t>Rīgas ielā 10b, Ogrē</w:t>
      </w:r>
      <w:r>
        <w:rPr>
          <w:b/>
          <w:u w:val="single"/>
        </w:rPr>
        <w:t>, Ogres nov.</w:t>
      </w:r>
      <w:r w:rsidR="003C03F5" w:rsidRPr="003C03F5">
        <w:rPr>
          <w:b/>
          <w:u w:val="single"/>
        </w:rPr>
        <w:t xml:space="preserve"> kadastra Nr. 7401 001 0463</w:t>
      </w:r>
    </w:p>
    <w:p w14:paraId="1F581368" w14:textId="77777777" w:rsidR="00E60D51" w:rsidRDefault="00E60D51" w:rsidP="00E60D51">
      <w:pPr>
        <w:tabs>
          <w:tab w:val="left" w:pos="3660"/>
          <w:tab w:val="center" w:pos="4082"/>
        </w:tabs>
        <w:ind w:left="-142"/>
        <w:jc w:val="center"/>
        <w:rPr>
          <w:b/>
          <w:u w:val="single"/>
        </w:rPr>
      </w:pPr>
    </w:p>
    <w:bookmarkEnd w:id="0"/>
    <w:p w14:paraId="10ED4E88" w14:textId="53D069F1" w:rsidR="00E60D51" w:rsidRDefault="00E60D51" w:rsidP="00E60D51">
      <w:pPr>
        <w:ind w:firstLine="720"/>
        <w:jc w:val="both"/>
      </w:pPr>
      <w:r>
        <w:t xml:space="preserve">2023.gada </w:t>
      </w:r>
      <w:r w:rsidR="009C061A">
        <w:t>17</w:t>
      </w:r>
      <w:r>
        <w:t>.</w:t>
      </w:r>
      <w:r w:rsidR="009C061A">
        <w:t>augustā</w:t>
      </w:r>
      <w:r>
        <w:t xml:space="preserve"> Ogres novada pašvaldībā (turpmāk – Pašvaldība) saņemts </w:t>
      </w:r>
      <w:r w:rsidR="009C061A">
        <w:t>J.F</w:t>
      </w:r>
      <w:r>
        <w:t xml:space="preserve">. (turpmāk arī – Iesniedzēja) iesniegums (reģistrēts Pašvaldībā ar Nr. </w:t>
      </w:r>
      <w:r w:rsidR="009C061A" w:rsidRPr="00A838C4">
        <w:t>2-4.2/2018</w:t>
      </w:r>
      <w:r>
        <w:t xml:space="preserve">), kurā lūgts pieņemt lēmumu par detālplānojuma izstrādi nekustamajā īpašumā </w:t>
      </w:r>
      <w:r w:rsidR="009C061A">
        <w:t>Rīgas ielā 10b, Ogrē</w:t>
      </w:r>
      <w:r>
        <w:t xml:space="preserve">, Ogres nov., kadastra Nr. </w:t>
      </w:r>
      <w:r w:rsidR="009C061A">
        <w:t>7401</w:t>
      </w:r>
      <w:r>
        <w:t xml:space="preserve"> </w:t>
      </w:r>
      <w:r w:rsidR="009C061A">
        <w:t>001</w:t>
      </w:r>
      <w:r>
        <w:t xml:space="preserve"> </w:t>
      </w:r>
      <w:r w:rsidR="009C061A">
        <w:t>0463</w:t>
      </w:r>
      <w:r>
        <w:t xml:space="preserve"> (turpmāk – Zemes vienība) (</w:t>
      </w:r>
      <w:r w:rsidR="00A838C4">
        <w:t>0,1862</w:t>
      </w:r>
      <w:r>
        <w:t xml:space="preserve"> ha). Saskaņā ar iesniegumā norādīto informāciju Zemes vienīb</w:t>
      </w:r>
      <w:r w:rsidR="004A62B9">
        <w:t>ā</w:t>
      </w:r>
      <w:r>
        <w:t xml:space="preserve"> plānots </w:t>
      </w:r>
      <w:r w:rsidR="009C061A">
        <w:t>atļauto apbūvi paaugstināt par vienu stāvu un precizēt a</w:t>
      </w:r>
      <w:r w:rsidR="008E6B63">
        <w:t>p</w:t>
      </w:r>
      <w:r w:rsidR="009C061A">
        <w:t>būves tehniski ekonomiskos rādītājus</w:t>
      </w:r>
      <w:r>
        <w:t xml:space="preserve">. </w:t>
      </w:r>
    </w:p>
    <w:p w14:paraId="2DB525B6" w14:textId="7D7D1A37" w:rsidR="00262A74" w:rsidRDefault="00E60D51" w:rsidP="008E6B63">
      <w:pPr>
        <w:ind w:firstLine="720"/>
        <w:jc w:val="both"/>
      </w:pPr>
      <w:r>
        <w:t xml:space="preserve">Saskaņā ar </w:t>
      </w:r>
      <w:r w:rsidR="00E17239">
        <w:t>Ogres</w:t>
      </w:r>
      <w:r>
        <w:t xml:space="preserve"> pilsētas zemesgrāmatas nodalījumu Nr.</w:t>
      </w:r>
      <w:r w:rsidR="00642DC9">
        <w:t>100000126077</w:t>
      </w:r>
      <w:r>
        <w:t xml:space="preserve"> īpašumtiesības uz īpašumu </w:t>
      </w:r>
      <w:r w:rsidR="00E17239">
        <w:t>Rīgas ielā 10b, Ogrē, Ogres nov., kadastra Nr. 74010010463</w:t>
      </w:r>
      <w:r>
        <w:t xml:space="preserve">, ir nostiprinātas uz </w:t>
      </w:r>
      <w:r w:rsidR="00E17239">
        <w:t>J</w:t>
      </w:r>
      <w:r>
        <w:t>.</w:t>
      </w:r>
      <w:r w:rsidR="00E17239">
        <w:t>F</w:t>
      </w:r>
      <w:r>
        <w:t xml:space="preserve">. vārda. Minētā nekustamā īpašuma sastāvā ietilpst zemes vienība ar kadastra apzīmējumu </w:t>
      </w:r>
      <w:r w:rsidR="00E17239">
        <w:t>74010010463</w:t>
      </w:r>
      <w:r>
        <w:t xml:space="preserve">. </w:t>
      </w:r>
    </w:p>
    <w:p w14:paraId="35A93BB8" w14:textId="3BAFFDBD" w:rsidR="00BB6320" w:rsidRDefault="002016E7" w:rsidP="002016E7">
      <w:pPr>
        <w:pStyle w:val="NormalWeb"/>
        <w:spacing w:before="0" w:beforeAutospacing="0" w:after="60" w:afterAutospacing="0" w:line="276" w:lineRule="auto"/>
        <w:ind w:firstLine="567"/>
        <w:jc w:val="both"/>
      </w:pPr>
      <w:r>
        <w:t>Atbilstoši Pašvaldības 2012.gada 21.jūnija saistošo noteikumu Nr.16/2012 “Ogres novada teritorijas izmantošanas un apbūves noteikumi”</w:t>
      </w:r>
      <w:r w:rsidR="00035C2D">
        <w:t xml:space="preserve"> </w:t>
      </w:r>
      <w:r w:rsidR="00035C2D">
        <w:rPr>
          <w:rStyle w:val="FootnoteReference"/>
        </w:rPr>
        <w:footnoteReference w:id="1"/>
      </w:r>
      <w:r w:rsidR="00035C2D">
        <w:t xml:space="preserve"> </w:t>
      </w:r>
      <w:r>
        <w:t xml:space="preserve">(turpmāk – SN16/2012) pielikumam “Ogres novada </w:t>
      </w:r>
      <w:r w:rsidR="004846CD">
        <w:t xml:space="preserve">Ogres pilsētas </w:t>
      </w:r>
      <w:r>
        <w:t>teritorijas atļautās un plānotās izmantošanas karte”</w:t>
      </w:r>
      <w:r w:rsidR="00035C2D">
        <w:t xml:space="preserve"> </w:t>
      </w:r>
      <w:r w:rsidR="00035C2D">
        <w:rPr>
          <w:rStyle w:val="FootnoteReference"/>
        </w:rPr>
        <w:footnoteReference w:id="2"/>
      </w:r>
      <w:r>
        <w:t xml:space="preserve"> Zemes vienībai noteikta funkcionālā zona </w:t>
      </w:r>
      <w:r w:rsidR="003944B9" w:rsidRPr="008E6B63">
        <w:rPr>
          <w:i/>
          <w:iCs/>
        </w:rPr>
        <w:t>Daudzīvokļu namu apbūves teritorija</w:t>
      </w:r>
      <w:r w:rsidRPr="008E6B63">
        <w:rPr>
          <w:i/>
          <w:iCs/>
        </w:rPr>
        <w:t xml:space="preserve"> (</w:t>
      </w:r>
      <w:proofErr w:type="spellStart"/>
      <w:r w:rsidR="003944B9" w:rsidRPr="008E6B63">
        <w:rPr>
          <w:i/>
          <w:iCs/>
        </w:rPr>
        <w:t>DzD</w:t>
      </w:r>
      <w:proofErr w:type="spellEnd"/>
      <w:r w:rsidRPr="008E6B63">
        <w:rPr>
          <w:i/>
          <w:iCs/>
        </w:rPr>
        <w:t>)</w:t>
      </w:r>
      <w:r w:rsidRPr="004A62B9">
        <w:t>.</w:t>
      </w:r>
      <w:r>
        <w:t xml:space="preserve"> Zemes vienība robežojas ar </w:t>
      </w:r>
      <w:r w:rsidR="00BB6320" w:rsidRPr="008E6B63">
        <w:rPr>
          <w:i/>
          <w:iCs/>
        </w:rPr>
        <w:t>Daudzdzīvokļu namu apbūves teritoriju (</w:t>
      </w:r>
      <w:proofErr w:type="spellStart"/>
      <w:r w:rsidR="00BB6320" w:rsidRPr="008E6B63">
        <w:rPr>
          <w:i/>
          <w:iCs/>
        </w:rPr>
        <w:t>DzD</w:t>
      </w:r>
      <w:proofErr w:type="spellEnd"/>
      <w:r w:rsidR="00BB6320" w:rsidRPr="008E6B63">
        <w:rPr>
          <w:i/>
          <w:iCs/>
        </w:rPr>
        <w:t xml:space="preserve">), Tehniskās apbūves teritoriju (T) </w:t>
      </w:r>
      <w:r w:rsidR="00BB6320" w:rsidRPr="008E6B63">
        <w:t>un</w:t>
      </w:r>
      <w:r w:rsidR="00BB6320" w:rsidRPr="008E6B63">
        <w:rPr>
          <w:i/>
          <w:iCs/>
        </w:rPr>
        <w:t xml:space="preserve"> Satiksmes infrastruktūras </w:t>
      </w:r>
      <w:r w:rsidRPr="008E6B63">
        <w:rPr>
          <w:i/>
          <w:iCs/>
        </w:rPr>
        <w:t>teritoriju</w:t>
      </w:r>
      <w:r w:rsidR="00BB6320" w:rsidRPr="008E6B63">
        <w:rPr>
          <w:i/>
          <w:iCs/>
        </w:rPr>
        <w:t xml:space="preserve"> (S)</w:t>
      </w:r>
      <w:r>
        <w:t>.</w:t>
      </w:r>
      <w:r w:rsidR="00517C32">
        <w:t xml:space="preserve">  Uz zemes vienības atrodas pagraba drupas</w:t>
      </w:r>
      <w:r>
        <w:t xml:space="preserve">. Zemes vienības platība ir </w:t>
      </w:r>
      <w:r w:rsidR="00126ED2" w:rsidRPr="00775D54">
        <w:t xml:space="preserve">0.1862 </w:t>
      </w:r>
      <w:r>
        <w:t xml:space="preserve">ha. </w:t>
      </w:r>
    </w:p>
    <w:p w14:paraId="6CDA7130" w14:textId="57D57377" w:rsidR="00B11794" w:rsidRDefault="00040B2E" w:rsidP="004A62B9">
      <w:pPr>
        <w:pStyle w:val="NormalWeb"/>
        <w:spacing w:before="0" w:beforeAutospacing="0" w:after="60" w:afterAutospacing="0" w:line="276" w:lineRule="auto"/>
        <w:ind w:firstLine="567"/>
        <w:jc w:val="both"/>
      </w:pPr>
      <w:r>
        <w:t xml:space="preserve">Atbilstoši SN16/2012 </w:t>
      </w:r>
      <w:r w:rsidRPr="004A62B9">
        <w:t xml:space="preserve">Teritorijas izmantošanas un apbūves noteikumu (turpmāk – TIAN) </w:t>
      </w:r>
      <w:r w:rsidR="004A62B9" w:rsidRPr="004A62B9">
        <w:t xml:space="preserve">220.1.B.1.) </w:t>
      </w:r>
      <w:r w:rsidR="008E6B63">
        <w:t>apakš</w:t>
      </w:r>
      <w:r w:rsidR="004A62B9" w:rsidRPr="004A62B9">
        <w:t>punktam šajā funkcionālajā zonā noteikta daudzdz</w:t>
      </w:r>
      <w:r w:rsidR="004A62B9" w:rsidRPr="004A62B9">
        <w:rPr>
          <w:rFonts w:hint="eastAsia"/>
        </w:rPr>
        <w:t>ī</w:t>
      </w:r>
      <w:r w:rsidR="004A62B9" w:rsidRPr="004A62B9">
        <w:t>vokļu namu (3 un vair</w:t>
      </w:r>
      <w:r w:rsidR="004A62B9" w:rsidRPr="004A62B9">
        <w:rPr>
          <w:rFonts w:hint="eastAsia"/>
        </w:rPr>
        <w:t>ā</w:t>
      </w:r>
      <w:r w:rsidR="004A62B9" w:rsidRPr="004A62B9">
        <w:t>k dz</w:t>
      </w:r>
      <w:r w:rsidR="004A62B9" w:rsidRPr="004A62B9">
        <w:rPr>
          <w:rFonts w:hint="eastAsia"/>
        </w:rPr>
        <w:t>ī</w:t>
      </w:r>
      <w:r w:rsidR="004A62B9" w:rsidRPr="004A62B9">
        <w:t>vokļi) apb</w:t>
      </w:r>
      <w:r w:rsidR="004A62B9" w:rsidRPr="004A62B9">
        <w:rPr>
          <w:rFonts w:hint="eastAsia"/>
        </w:rPr>
        <w:t>ū</w:t>
      </w:r>
      <w:r w:rsidR="004A62B9" w:rsidRPr="004A62B9">
        <w:t xml:space="preserve">ve. Apbūves intensitāte atbilstoši TIAN 220.5.A) </w:t>
      </w:r>
      <w:r w:rsidR="008E6B63">
        <w:t>apakš</w:t>
      </w:r>
      <w:r w:rsidR="004A62B9" w:rsidRPr="004A62B9">
        <w:t xml:space="preserve">punktam </w:t>
      </w:r>
      <w:r w:rsidR="008E6B63">
        <w:t>d</w:t>
      </w:r>
      <w:r w:rsidR="004A62B9" w:rsidRPr="004A62B9">
        <w:t>audzdz</w:t>
      </w:r>
      <w:r w:rsidR="004A62B9" w:rsidRPr="004A62B9">
        <w:rPr>
          <w:rFonts w:hint="eastAsia"/>
        </w:rPr>
        <w:t>ī</w:t>
      </w:r>
      <w:r w:rsidR="004A62B9" w:rsidRPr="004A62B9">
        <w:t>vokļu namu apb</w:t>
      </w:r>
      <w:r w:rsidR="004A62B9" w:rsidRPr="004A62B9">
        <w:rPr>
          <w:rFonts w:hint="eastAsia"/>
        </w:rPr>
        <w:t>ū</w:t>
      </w:r>
      <w:r w:rsidR="004A62B9" w:rsidRPr="004A62B9">
        <w:t>ves zemes vien</w:t>
      </w:r>
      <w:r w:rsidR="004A62B9" w:rsidRPr="004A62B9">
        <w:rPr>
          <w:rFonts w:hint="eastAsia"/>
        </w:rPr>
        <w:t>ī</w:t>
      </w:r>
      <w:r w:rsidR="004A62B9" w:rsidRPr="004A62B9">
        <w:t>b</w:t>
      </w:r>
      <w:r w:rsidR="004A62B9" w:rsidRPr="004A62B9">
        <w:rPr>
          <w:rFonts w:hint="eastAsia"/>
        </w:rPr>
        <w:t>ā</w:t>
      </w:r>
      <w:r w:rsidR="004A62B9" w:rsidRPr="004A62B9">
        <w:t>m pils</w:t>
      </w:r>
      <w:r w:rsidR="004A62B9" w:rsidRPr="004A62B9">
        <w:rPr>
          <w:rFonts w:hint="eastAsia"/>
        </w:rPr>
        <w:t>ē</w:t>
      </w:r>
      <w:r w:rsidR="004A62B9" w:rsidRPr="004A62B9">
        <w:t>t</w:t>
      </w:r>
      <w:r w:rsidR="004A62B9" w:rsidRPr="004A62B9">
        <w:rPr>
          <w:rFonts w:hint="eastAsia"/>
        </w:rPr>
        <w:t>ā</w:t>
      </w:r>
      <w:r w:rsidR="004A62B9" w:rsidRPr="004A62B9">
        <w:t xml:space="preserve"> noteikta 100%, pieļaujot</w:t>
      </w:r>
      <w:r w:rsidR="008E6B63">
        <w:t>,</w:t>
      </w:r>
      <w:r w:rsidR="004A62B9" w:rsidRPr="004A62B9">
        <w:t xml:space="preserve"> ar det</w:t>
      </w:r>
      <w:r w:rsidR="004A62B9" w:rsidRPr="004A62B9">
        <w:rPr>
          <w:rFonts w:hint="eastAsia"/>
        </w:rPr>
        <w:t>ā</w:t>
      </w:r>
      <w:r w:rsidR="004A62B9" w:rsidRPr="004A62B9">
        <w:t>lpl</w:t>
      </w:r>
      <w:r w:rsidR="004A62B9" w:rsidRPr="004A62B9">
        <w:rPr>
          <w:rFonts w:hint="eastAsia"/>
        </w:rPr>
        <w:t>ā</w:t>
      </w:r>
      <w:r w:rsidR="004A62B9" w:rsidRPr="004A62B9">
        <w:t>nojumu pamatojot liel</w:t>
      </w:r>
      <w:r w:rsidR="004A62B9" w:rsidRPr="004A62B9">
        <w:rPr>
          <w:rFonts w:hint="eastAsia"/>
        </w:rPr>
        <w:t>ā</w:t>
      </w:r>
      <w:r w:rsidR="004A62B9" w:rsidRPr="004A62B9">
        <w:t>ku st</w:t>
      </w:r>
      <w:r w:rsidR="004A62B9" w:rsidRPr="004A62B9">
        <w:rPr>
          <w:rFonts w:hint="eastAsia"/>
        </w:rPr>
        <w:t>ā</w:t>
      </w:r>
      <w:r w:rsidR="004A62B9" w:rsidRPr="004A62B9">
        <w:t>vu skaitu, apb</w:t>
      </w:r>
      <w:r w:rsidR="004A62B9" w:rsidRPr="004A62B9">
        <w:rPr>
          <w:rFonts w:hint="eastAsia"/>
        </w:rPr>
        <w:t>ū</w:t>
      </w:r>
      <w:r w:rsidR="004A62B9" w:rsidRPr="004A62B9">
        <w:t>ves intensit</w:t>
      </w:r>
      <w:r w:rsidR="004A62B9" w:rsidRPr="004A62B9">
        <w:rPr>
          <w:rFonts w:hint="eastAsia"/>
        </w:rPr>
        <w:t>ā</w:t>
      </w:r>
      <w:r w:rsidR="004A62B9" w:rsidRPr="004A62B9">
        <w:t>ti palielin</w:t>
      </w:r>
      <w:r w:rsidR="004A62B9" w:rsidRPr="004A62B9">
        <w:rPr>
          <w:rFonts w:hint="eastAsia"/>
        </w:rPr>
        <w:t>ā</w:t>
      </w:r>
      <w:r w:rsidR="004A62B9" w:rsidRPr="004A62B9">
        <w:t>t l</w:t>
      </w:r>
      <w:r w:rsidR="004A62B9" w:rsidRPr="004A62B9">
        <w:rPr>
          <w:rFonts w:hint="eastAsia"/>
        </w:rPr>
        <w:t>ī</w:t>
      </w:r>
      <w:r w:rsidR="004A62B9" w:rsidRPr="004A62B9">
        <w:t>dz 120%</w:t>
      </w:r>
      <w:r w:rsidR="00BB6320">
        <w:t>. Atbilstoši TIAN 220.8.F)</w:t>
      </w:r>
      <w:r w:rsidR="008E6B63">
        <w:t xml:space="preserve"> apakš</w:t>
      </w:r>
      <w:r w:rsidR="00BB6320">
        <w:t>punktam</w:t>
      </w:r>
      <w:r w:rsidR="008E6B63">
        <w:t>,</w:t>
      </w:r>
      <w:r w:rsidR="00BB6320">
        <w:t xml:space="preserve"> </w:t>
      </w:r>
      <w:r w:rsidR="00BB6320" w:rsidRPr="00BB6320">
        <w:t>izstr</w:t>
      </w:r>
      <w:r w:rsidR="00BB6320" w:rsidRPr="00BB6320">
        <w:rPr>
          <w:rFonts w:hint="eastAsia"/>
        </w:rPr>
        <w:t>ā</w:t>
      </w:r>
      <w:r w:rsidR="00BB6320" w:rsidRPr="00BB6320">
        <w:t>d</w:t>
      </w:r>
      <w:r w:rsidR="00BB6320" w:rsidRPr="00BB6320">
        <w:rPr>
          <w:rFonts w:hint="eastAsia"/>
        </w:rPr>
        <w:t>ā</w:t>
      </w:r>
      <w:r w:rsidR="00BB6320" w:rsidRPr="00BB6320">
        <w:t>jot det</w:t>
      </w:r>
      <w:r w:rsidR="00BB6320" w:rsidRPr="00BB6320">
        <w:rPr>
          <w:rFonts w:hint="eastAsia"/>
        </w:rPr>
        <w:t>ā</w:t>
      </w:r>
      <w:r w:rsidR="00BB6320" w:rsidRPr="00BB6320">
        <w:t>lpl</w:t>
      </w:r>
      <w:r w:rsidR="00BB6320" w:rsidRPr="00BB6320">
        <w:rPr>
          <w:rFonts w:hint="eastAsia"/>
        </w:rPr>
        <w:t>ā</w:t>
      </w:r>
      <w:r w:rsidR="00BB6320" w:rsidRPr="00BB6320">
        <w:t>nojumu daudzdz</w:t>
      </w:r>
      <w:r w:rsidR="00BB6320" w:rsidRPr="00BB6320">
        <w:rPr>
          <w:rFonts w:hint="eastAsia"/>
        </w:rPr>
        <w:t>ī</w:t>
      </w:r>
      <w:r w:rsidR="00BB6320" w:rsidRPr="00BB6320">
        <w:t>vok</w:t>
      </w:r>
      <w:r w:rsidR="00BB6320">
        <w:t>ļ</w:t>
      </w:r>
      <w:r w:rsidR="00BB6320" w:rsidRPr="00BB6320">
        <w:t>u namu apb</w:t>
      </w:r>
      <w:r w:rsidR="00BB6320" w:rsidRPr="00BB6320">
        <w:rPr>
          <w:rFonts w:hint="eastAsia"/>
        </w:rPr>
        <w:t>ū</w:t>
      </w:r>
      <w:r w:rsidR="00BB6320" w:rsidRPr="00BB6320">
        <w:t>vei</w:t>
      </w:r>
      <w:r w:rsidR="00BB6320">
        <w:t xml:space="preserve"> </w:t>
      </w:r>
      <w:r w:rsidR="00BB6320" w:rsidRPr="00BB6320">
        <w:t>Ogres pils</w:t>
      </w:r>
      <w:r w:rsidR="00BB6320" w:rsidRPr="00BB6320">
        <w:rPr>
          <w:rFonts w:hint="eastAsia"/>
        </w:rPr>
        <w:t>ē</w:t>
      </w:r>
      <w:r w:rsidR="00BB6320" w:rsidRPr="00BB6320">
        <w:t>t</w:t>
      </w:r>
      <w:r w:rsidR="00BB6320" w:rsidRPr="00BB6320">
        <w:rPr>
          <w:rFonts w:hint="eastAsia"/>
        </w:rPr>
        <w:t>ā</w:t>
      </w:r>
      <w:r w:rsidR="00BB6320" w:rsidRPr="00BB6320">
        <w:t>, iesp</w:t>
      </w:r>
      <w:r w:rsidR="00BB6320" w:rsidRPr="00BB6320">
        <w:rPr>
          <w:rFonts w:hint="eastAsia"/>
        </w:rPr>
        <w:t>ē</w:t>
      </w:r>
      <w:r w:rsidR="00BB6320" w:rsidRPr="00BB6320">
        <w:t>jams pamatot liel</w:t>
      </w:r>
      <w:r w:rsidR="00BB6320" w:rsidRPr="00BB6320">
        <w:rPr>
          <w:rFonts w:hint="eastAsia"/>
        </w:rPr>
        <w:t>ā</w:t>
      </w:r>
      <w:r w:rsidR="00BB6320" w:rsidRPr="00BB6320">
        <w:t>ku st</w:t>
      </w:r>
      <w:r w:rsidR="00BB6320" w:rsidRPr="00BB6320">
        <w:rPr>
          <w:rFonts w:hint="eastAsia"/>
        </w:rPr>
        <w:t>ā</w:t>
      </w:r>
      <w:r w:rsidR="00BB6320" w:rsidRPr="00BB6320">
        <w:t>vu skaitu, bet</w:t>
      </w:r>
      <w:r w:rsidR="00BB6320">
        <w:t xml:space="preserve"> </w:t>
      </w:r>
      <w:r w:rsidR="00BB6320" w:rsidRPr="00BB6320">
        <w:t>ne vair</w:t>
      </w:r>
      <w:r w:rsidR="00BB6320" w:rsidRPr="00BB6320">
        <w:rPr>
          <w:rFonts w:hint="eastAsia"/>
        </w:rPr>
        <w:t>ā</w:t>
      </w:r>
      <w:r w:rsidR="00BB6320" w:rsidRPr="00BB6320">
        <w:t>k par 10 st</w:t>
      </w:r>
      <w:r w:rsidR="00BB6320" w:rsidRPr="00BB6320">
        <w:rPr>
          <w:rFonts w:hint="eastAsia"/>
        </w:rPr>
        <w:t>ā</w:t>
      </w:r>
      <w:r w:rsidR="00BB6320" w:rsidRPr="00BB6320">
        <w:t>viem, iz</w:t>
      </w:r>
      <w:r w:rsidR="00BB6320">
        <w:t>ņ</w:t>
      </w:r>
      <w:r w:rsidR="00BB6320" w:rsidRPr="00BB6320">
        <w:t>emot gad</w:t>
      </w:r>
      <w:r w:rsidR="00BB6320" w:rsidRPr="00BB6320">
        <w:rPr>
          <w:rFonts w:hint="eastAsia"/>
        </w:rPr>
        <w:t>ī</w:t>
      </w:r>
      <w:r w:rsidR="00BB6320" w:rsidRPr="00BB6320">
        <w:t>jumus, ja zemes</w:t>
      </w:r>
      <w:r w:rsidR="00BB6320">
        <w:t xml:space="preserve"> </w:t>
      </w:r>
      <w:r w:rsidR="00BB6320" w:rsidRPr="00BB6320">
        <w:t>vien</w:t>
      </w:r>
      <w:r w:rsidR="00BB6320" w:rsidRPr="00BB6320">
        <w:rPr>
          <w:rFonts w:hint="eastAsia"/>
        </w:rPr>
        <w:t>ī</w:t>
      </w:r>
      <w:r w:rsidR="00BB6320" w:rsidRPr="00BB6320">
        <w:t>ba robe</w:t>
      </w:r>
      <w:r w:rsidR="00BB6320" w:rsidRPr="00BB6320">
        <w:rPr>
          <w:rFonts w:hint="eastAsia"/>
        </w:rPr>
        <w:t>ž</w:t>
      </w:r>
      <w:r w:rsidR="00BB6320" w:rsidRPr="00BB6320">
        <w:t>ojas ar savrupm</w:t>
      </w:r>
      <w:r w:rsidR="00BB6320" w:rsidRPr="00BB6320">
        <w:rPr>
          <w:rFonts w:hint="eastAsia"/>
        </w:rPr>
        <w:t>ā</w:t>
      </w:r>
      <w:r w:rsidR="00BB6320" w:rsidRPr="00BB6320">
        <w:t>ju apb</w:t>
      </w:r>
      <w:r w:rsidR="00BB6320" w:rsidRPr="00BB6320">
        <w:rPr>
          <w:rFonts w:hint="eastAsia"/>
        </w:rPr>
        <w:t>ū</w:t>
      </w:r>
      <w:r w:rsidR="00BB6320" w:rsidRPr="00BB6320">
        <w:t>vi</w:t>
      </w:r>
      <w:r w:rsidR="00BB6320">
        <w:t xml:space="preserve">. </w:t>
      </w:r>
    </w:p>
    <w:p w14:paraId="39BA2189" w14:textId="5BC8BA5B" w:rsidR="00AD18CB" w:rsidRDefault="00B11794" w:rsidP="00AD4CA2">
      <w:pPr>
        <w:pStyle w:val="NormalWeb"/>
        <w:spacing w:before="0" w:beforeAutospacing="0" w:after="60" w:afterAutospacing="0" w:line="276" w:lineRule="auto"/>
        <w:ind w:firstLine="567"/>
        <w:jc w:val="both"/>
      </w:pPr>
      <w:r w:rsidRPr="00453647">
        <w:t xml:space="preserve">Atbilstoši </w:t>
      </w:r>
      <w:r w:rsidR="00453647" w:rsidRPr="00453647">
        <w:t xml:space="preserve">Teritorijas attīstības plānošanas likumam </w:t>
      </w:r>
      <w:r w:rsidRPr="00453647">
        <w:t xml:space="preserve">28. panta </w:t>
      </w:r>
      <w:r w:rsidR="008E6B63">
        <w:t xml:space="preserve">pirmajai daļai </w:t>
      </w:r>
      <w:r w:rsidR="00AD18CB">
        <w:t>d</w:t>
      </w:r>
      <w:r w:rsidRPr="00453647">
        <w:t xml:space="preserve">etālplānojumā atbilstoši mēroga noteiktībai detalizē un konkretizē teritorijas plānojumā vai </w:t>
      </w:r>
      <w:proofErr w:type="spellStart"/>
      <w:r w:rsidRPr="00453647">
        <w:lastRenderedPageBreak/>
        <w:t>lokālplānojumā</w:t>
      </w:r>
      <w:proofErr w:type="spellEnd"/>
      <w:r w:rsidRPr="00453647">
        <w:t xml:space="preserve"> noteiktajā funkcionālajā zonējumā paredzētos teritorijas izmantošanas veidus un aprobežojumus, nosakot prasības katras zemes vienības teritorijas izmantošanai un apbūvei.</w:t>
      </w:r>
    </w:p>
    <w:p w14:paraId="78FC5600" w14:textId="3175D7AA" w:rsidR="00B11794" w:rsidRDefault="00453647" w:rsidP="008E6B63">
      <w:pPr>
        <w:pStyle w:val="NormalWeb"/>
        <w:spacing w:before="0" w:beforeAutospacing="0" w:after="60" w:afterAutospacing="0" w:line="276" w:lineRule="auto"/>
        <w:ind w:firstLine="567"/>
        <w:jc w:val="both"/>
      </w:pPr>
      <w:r>
        <w:t xml:space="preserve"> Saskaņā ar </w:t>
      </w:r>
      <w:r w:rsidRPr="00955CBB">
        <w:t xml:space="preserve">Ministru kabineta </w:t>
      </w:r>
      <w:r w:rsidRPr="00354E5C">
        <w:t>201</w:t>
      </w:r>
      <w:r>
        <w:t>4</w:t>
      </w:r>
      <w:r w:rsidRPr="00354E5C">
        <w:t>.</w:t>
      </w:r>
      <w:r>
        <w:t>gada 14.oktobra</w:t>
      </w:r>
      <w:r w:rsidRPr="00354E5C">
        <w:t xml:space="preserve"> noteikumu Nr.</w:t>
      </w:r>
      <w:r>
        <w:t>628</w:t>
      </w:r>
      <w:r w:rsidRPr="00955CBB">
        <w:t xml:space="preserve"> „</w:t>
      </w:r>
      <w:r w:rsidRPr="00AD4CA2">
        <w:t>Noteikumi par pašvaldību teritorijas attīstības plānošanas dokumentiem</w:t>
      </w:r>
      <w:r w:rsidRPr="00955CBB">
        <w:t>”</w:t>
      </w:r>
      <w:r>
        <w:t xml:space="preserve"> 38</w:t>
      </w:r>
      <w:r w:rsidR="004640D8">
        <w:t>.</w:t>
      </w:r>
      <w:r>
        <w:t xml:space="preserve"> </w:t>
      </w:r>
      <w:r w:rsidR="00AD4CA2">
        <w:t>punktu</w:t>
      </w:r>
      <w:r>
        <w:t xml:space="preserve"> detālplānojumu izstrādā, </w:t>
      </w:r>
      <w:r w:rsidR="00AD4CA2" w:rsidRPr="00AD4CA2">
        <w:t xml:space="preserve">lai īstenotu konkrētu attīstības priekšlikumu vai plānošanas uzdevumu, detalizējot teritorijas plānojumā vai </w:t>
      </w:r>
      <w:proofErr w:type="spellStart"/>
      <w:r w:rsidR="00AD4CA2" w:rsidRPr="00AD4CA2">
        <w:t>lokālplānojumā</w:t>
      </w:r>
      <w:proofErr w:type="spellEnd"/>
      <w:r w:rsidR="00AD4CA2" w:rsidRPr="00AD4CA2">
        <w:t xml:space="preserve"> noteiktās prasība</w:t>
      </w:r>
      <w:r>
        <w:t>s.</w:t>
      </w:r>
    </w:p>
    <w:p w14:paraId="03E3B880" w14:textId="49C6B215" w:rsidR="00AD4CA2" w:rsidRDefault="00AD4CA2" w:rsidP="00AD4CA2">
      <w:pPr>
        <w:ind w:firstLine="567"/>
        <w:jc w:val="both"/>
        <w:rPr>
          <w:bCs/>
        </w:rPr>
      </w:pPr>
      <w:r>
        <w:t xml:space="preserve">Ņemot vērā minēto, Pašvaldība secina, ka Iesniedzēja attīstības priekšlikums atbilst SN16/2012 un </w:t>
      </w:r>
      <w:r w:rsidR="008E6B63" w:rsidRPr="008E6B63">
        <w:t>teritorijas attīstības plānošanas jomu regulējošajiem normatīvajiem aktiem un līdz ar to detālplānojuma izstrāde ir pieļaujama.</w:t>
      </w:r>
    </w:p>
    <w:p w14:paraId="39B44945" w14:textId="4B762458" w:rsidR="00040B2E" w:rsidRDefault="00AD4CA2" w:rsidP="00723D50">
      <w:pPr>
        <w:pStyle w:val="NormalWeb"/>
        <w:spacing w:before="0" w:beforeAutospacing="0" w:after="60" w:afterAutospacing="0" w:line="276" w:lineRule="auto"/>
        <w:ind w:firstLine="567"/>
        <w:jc w:val="both"/>
      </w:pPr>
      <w:r>
        <w:t xml:space="preserve">Ņemot vērā minēto, kā arī </w:t>
      </w:r>
      <w:r w:rsidRPr="00AB469A">
        <w:t>pamatojoties uz Teritorijas attīstības plānošanas likuma 28.pantu</w:t>
      </w:r>
      <w:r>
        <w:t>,</w:t>
      </w:r>
      <w:r w:rsidRPr="00425CBA">
        <w:t xml:space="preserve"> Pašvaldību likuma 10. panta pirmās daļas </w:t>
      </w:r>
      <w:r w:rsidR="008E6B63" w:rsidRPr="007F275D">
        <w:t>21</w:t>
      </w:r>
      <w:r w:rsidRPr="007F275D">
        <w:t xml:space="preserve">.punktu, </w:t>
      </w:r>
      <w:r>
        <w:t>Ministru kabineta 2014.gada 14.oktobra noteikumu Nr.628 “Noteikumi par pašvaldību teritorijas attīstības plānošanas dokumentiem” 96. un 98.punktu,</w:t>
      </w:r>
    </w:p>
    <w:p w14:paraId="7487ED4B" w14:textId="77777777" w:rsidR="00E60D51" w:rsidRDefault="00E60D51" w:rsidP="00E60D51">
      <w:pPr>
        <w:spacing w:line="276" w:lineRule="auto"/>
        <w:ind w:firstLine="720"/>
        <w:jc w:val="both"/>
      </w:pPr>
    </w:p>
    <w:p w14:paraId="745E456F" w14:textId="77777777" w:rsidR="00723D50" w:rsidRPr="00723D50" w:rsidRDefault="00723D50" w:rsidP="00723D50">
      <w:pPr>
        <w:jc w:val="center"/>
        <w:rPr>
          <w:b/>
          <w:iCs/>
          <w:color w:val="000000"/>
          <w:lang w:eastAsia="en-US"/>
        </w:rPr>
      </w:pPr>
      <w:r w:rsidRPr="00723D50">
        <w:rPr>
          <w:b/>
          <w:iCs/>
          <w:color w:val="000000"/>
          <w:lang w:eastAsia="en-US"/>
        </w:rPr>
        <w:t xml:space="preserve">balsojot: </w:t>
      </w:r>
      <w:r w:rsidRPr="00723D50">
        <w:rPr>
          <w:b/>
          <w:iCs/>
          <w:noProof/>
          <w:color w:val="000000"/>
          <w:lang w:eastAsia="en-US"/>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723D50">
        <w:rPr>
          <w:b/>
          <w:iCs/>
          <w:color w:val="000000"/>
          <w:lang w:eastAsia="en-US"/>
        </w:rPr>
        <w:t xml:space="preserve"> </w:t>
      </w:r>
    </w:p>
    <w:p w14:paraId="5F9AA9EF" w14:textId="77777777" w:rsidR="00723D50" w:rsidRPr="00723D50" w:rsidRDefault="00723D50" w:rsidP="00723D50">
      <w:pPr>
        <w:jc w:val="center"/>
        <w:rPr>
          <w:b/>
          <w:iCs/>
          <w:color w:val="000000"/>
          <w:lang w:eastAsia="en-US"/>
        </w:rPr>
      </w:pPr>
      <w:r w:rsidRPr="00723D50">
        <w:rPr>
          <w:iCs/>
          <w:color w:val="000000"/>
          <w:lang w:eastAsia="en-US"/>
        </w:rPr>
        <w:t>Ogres novada pašvaldības dome</w:t>
      </w:r>
      <w:r w:rsidRPr="00723D50">
        <w:rPr>
          <w:b/>
          <w:iCs/>
          <w:color w:val="000000"/>
          <w:lang w:eastAsia="en-US"/>
        </w:rPr>
        <w:t xml:space="preserve"> NOLEMJ:</w:t>
      </w:r>
    </w:p>
    <w:p w14:paraId="2B6F38C7" w14:textId="77777777" w:rsidR="00E60D51" w:rsidRPr="004D5F65" w:rsidRDefault="00E60D51" w:rsidP="00E60D51">
      <w:pPr>
        <w:ind w:firstLine="375"/>
        <w:jc w:val="center"/>
        <w:rPr>
          <w:rFonts w:ascii="RimTimes" w:hAnsi="RimTimes"/>
          <w:b/>
          <w:szCs w:val="20"/>
          <w:lang w:val="en-US"/>
        </w:rPr>
      </w:pPr>
    </w:p>
    <w:p w14:paraId="64E1E99B" w14:textId="151B04A8" w:rsidR="00E60D51" w:rsidRDefault="00E60D51" w:rsidP="00E60D51">
      <w:pPr>
        <w:numPr>
          <w:ilvl w:val="0"/>
          <w:numId w:val="1"/>
        </w:numPr>
        <w:ind w:left="426"/>
        <w:jc w:val="both"/>
      </w:pPr>
      <w:r>
        <w:t xml:space="preserve">Atļaut uzsākt detālplānojuma nekustamajam īpašumam </w:t>
      </w:r>
      <w:r w:rsidR="00194018">
        <w:t>Rīgas ielā 10b, Ogrē, Ogres nov., kadastra Nr. 74010010463</w:t>
      </w:r>
      <w:r w:rsidRPr="00E54D27">
        <w:t xml:space="preserve"> </w:t>
      </w:r>
      <w:r>
        <w:t xml:space="preserve">(turpmāk – Detālplānojums) izstrādi. </w:t>
      </w:r>
    </w:p>
    <w:p w14:paraId="49CBCBCE" w14:textId="77777777" w:rsidR="00E60D51" w:rsidRPr="00C7198D" w:rsidRDefault="00E60D51" w:rsidP="00E60D51">
      <w:pPr>
        <w:numPr>
          <w:ilvl w:val="0"/>
          <w:numId w:val="1"/>
        </w:numPr>
        <w:ind w:left="426"/>
        <w:jc w:val="both"/>
      </w:pPr>
      <w:r>
        <w:t xml:space="preserve">Apstiprināt Detālplānojuma izstrādes darba uzdevumu saskaņā ar 1.pielikumu. </w:t>
      </w:r>
    </w:p>
    <w:p w14:paraId="2A567847" w14:textId="41FCA8F7" w:rsidR="00E60D51" w:rsidRDefault="00E60D51" w:rsidP="00E60D51">
      <w:pPr>
        <w:numPr>
          <w:ilvl w:val="0"/>
          <w:numId w:val="1"/>
        </w:numPr>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rsidR="00AD18CB">
        <w:t>telpisko plānotāju</w:t>
      </w:r>
      <w:r w:rsidR="008E6B63">
        <w:t>.</w:t>
      </w:r>
      <w:r w:rsidR="00642DC9">
        <w:t>                    </w:t>
      </w:r>
    </w:p>
    <w:p w14:paraId="5250F87C" w14:textId="3011AE2C" w:rsidR="00E60D51" w:rsidRDefault="00E60D51" w:rsidP="00E60D51">
      <w:pPr>
        <w:numPr>
          <w:ilvl w:val="0"/>
          <w:numId w:val="1"/>
        </w:numPr>
        <w:ind w:left="426"/>
        <w:jc w:val="both"/>
      </w:pPr>
      <w:r>
        <w:t xml:space="preserve">Noslēgt starp Pašvaldību un Detālplānojuma izstrādes ierosinātāju </w:t>
      </w:r>
      <w:r w:rsidR="00A838C4">
        <w:t>J.F</w:t>
      </w:r>
      <w:r>
        <w:t>. līgumu par Detālplānojuma izstrādi un finansēšanu saskaņā ar 2. pielikumu sešu nedēļu laikā pēc</w:t>
      </w:r>
      <w:r w:rsidR="00567CDE">
        <w:t xml:space="preserve"> </w:t>
      </w:r>
      <w:r w:rsidR="00567CDE" w:rsidRPr="00567CDE">
        <w:t>šī</w:t>
      </w:r>
      <w:r>
        <w:t xml:space="preserve"> lēmuma stāšanās spēkā.</w:t>
      </w:r>
    </w:p>
    <w:p w14:paraId="07598BD6" w14:textId="77777777" w:rsidR="00E60D51" w:rsidRDefault="00E60D51" w:rsidP="00E60D51">
      <w:pPr>
        <w:numPr>
          <w:ilvl w:val="0"/>
          <w:numId w:val="1"/>
        </w:numPr>
        <w:ind w:left="426"/>
        <w:jc w:val="both"/>
      </w:pPr>
      <w:r>
        <w:t xml:space="preserve">Noteikt, ka šis lēmums zaudē spēku, ja netiek izpildīts tā 4.punkts. </w:t>
      </w:r>
    </w:p>
    <w:p w14:paraId="11563B9B" w14:textId="47283AD7" w:rsidR="00E60D51" w:rsidRPr="00D22179" w:rsidRDefault="00E60D51" w:rsidP="00E60D51">
      <w:pPr>
        <w:numPr>
          <w:ilvl w:val="0"/>
          <w:numId w:val="1"/>
        </w:numPr>
        <w:tabs>
          <w:tab w:val="left" w:pos="426"/>
          <w:tab w:val="center" w:pos="4082"/>
        </w:tabs>
        <w:spacing w:line="276" w:lineRule="auto"/>
        <w:ind w:left="426"/>
        <w:jc w:val="both"/>
      </w:pPr>
      <w:r w:rsidRPr="00D22179">
        <w:t>Uzdot</w:t>
      </w:r>
      <w:r>
        <w:t xml:space="preserve"> P</w:t>
      </w:r>
      <w:r w:rsidRPr="00D22179">
        <w:t xml:space="preserve">ašvaldības </w:t>
      </w:r>
      <w:r>
        <w:t>C</w:t>
      </w:r>
      <w:r w:rsidRPr="00D22179">
        <w:t xml:space="preserve">entrālās administrācijas </w:t>
      </w:r>
      <w:r>
        <w:t xml:space="preserve">Attīstības un plānošanas nodaļas </w:t>
      </w:r>
      <w:r w:rsidR="00AD18CB">
        <w:t>telpiskajam plānotāj</w:t>
      </w:r>
      <w:r>
        <w:t xml:space="preserve">am </w:t>
      </w:r>
      <w:r w:rsidR="00C56EB3">
        <w:t xml:space="preserve"> </w:t>
      </w:r>
      <w:r w:rsidR="00895A54">
        <w:t>Tomam Mārtiņam Milleram</w:t>
      </w:r>
      <w:r>
        <w:t xml:space="preserve">: </w:t>
      </w:r>
    </w:p>
    <w:p w14:paraId="343958E4" w14:textId="77777777" w:rsidR="00E60D51" w:rsidRPr="008E6B63" w:rsidRDefault="00E60D51" w:rsidP="00E60D51">
      <w:pPr>
        <w:tabs>
          <w:tab w:val="left" w:pos="567"/>
          <w:tab w:val="center" w:pos="4082"/>
        </w:tabs>
        <w:spacing w:line="276" w:lineRule="auto"/>
        <w:ind w:left="567" w:right="-1"/>
        <w:jc w:val="both"/>
      </w:pPr>
      <w:r w:rsidRPr="008E6B63">
        <w:t>6.1. piecu darbdienu laikā pēc šī lēmuma stāšanās spēkā nodrošināt paziņojuma par Detālplānojuma izstrādes uzsākšanu un šī lēmuma ievietošanu Teritorijas attīstības plānošanas informācijas sistēmā, kā arī publicēšanu Pašvaldības interneta vietnē;</w:t>
      </w:r>
    </w:p>
    <w:p w14:paraId="1713E36B" w14:textId="77777777" w:rsidR="00E60D51" w:rsidRPr="008E6B63" w:rsidRDefault="00E60D51" w:rsidP="00E60D51">
      <w:pPr>
        <w:tabs>
          <w:tab w:val="left" w:pos="567"/>
          <w:tab w:val="center" w:pos="4082"/>
        </w:tabs>
        <w:spacing w:line="276" w:lineRule="auto"/>
        <w:ind w:left="567" w:right="-1"/>
        <w:jc w:val="both"/>
      </w:pPr>
      <w:r w:rsidRPr="008E6B63">
        <w:t xml:space="preserve">6.2. nodrošināt šā lēmuma 6.1.punktā minētā paziņojuma publicēšanu Pašvaldības informatīvā izdevuma tuvākajā numurā.  </w:t>
      </w:r>
    </w:p>
    <w:p w14:paraId="71084960" w14:textId="77777777" w:rsidR="00E60D51" w:rsidRDefault="00E60D51" w:rsidP="00E60D51">
      <w:pPr>
        <w:tabs>
          <w:tab w:val="left" w:pos="567"/>
          <w:tab w:val="center" w:pos="4082"/>
        </w:tabs>
        <w:spacing w:line="276" w:lineRule="auto"/>
        <w:ind w:left="567" w:right="-1"/>
        <w:jc w:val="both"/>
      </w:pPr>
      <w:r w:rsidRPr="008E6B63">
        <w:t>6.3.</w:t>
      </w:r>
      <w:r>
        <w:t xml:space="preserve"> 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65F3C8FB" w14:textId="77777777" w:rsidR="00E60D51" w:rsidRPr="00B95979" w:rsidRDefault="00E60D51" w:rsidP="00E60D51">
      <w:pPr>
        <w:numPr>
          <w:ilvl w:val="0"/>
          <w:numId w:val="1"/>
        </w:numPr>
        <w:tabs>
          <w:tab w:val="left" w:pos="426"/>
          <w:tab w:val="center" w:pos="4082"/>
        </w:tabs>
        <w:spacing w:line="276" w:lineRule="auto"/>
        <w:ind w:left="426" w:hanging="426"/>
        <w:jc w:val="both"/>
      </w:pPr>
      <w:r w:rsidRPr="005B4F80">
        <w:t xml:space="preserve">Kontroli </w:t>
      </w:r>
      <w:r w:rsidRPr="00B95979">
        <w:t xml:space="preserve">par lēmuma izpildi uzdot </w:t>
      </w:r>
      <w:r>
        <w:t>P</w:t>
      </w:r>
      <w:r w:rsidRPr="00B95979">
        <w:t>ašvaldības</w:t>
      </w:r>
      <w:r>
        <w:t xml:space="preserve"> izpilddirektoram.</w:t>
      </w:r>
    </w:p>
    <w:p w14:paraId="54722E9B" w14:textId="77777777" w:rsidR="00E60D51" w:rsidRDefault="00E60D51" w:rsidP="00E60D51">
      <w:pPr>
        <w:jc w:val="both"/>
      </w:pPr>
    </w:p>
    <w:p w14:paraId="3B72DFF4" w14:textId="77777777" w:rsidR="00E60D51" w:rsidRDefault="00E60D51" w:rsidP="00E60D51">
      <w:pPr>
        <w:jc w:val="both"/>
      </w:pPr>
    </w:p>
    <w:p w14:paraId="41065FD8" w14:textId="77777777" w:rsidR="00E60D51" w:rsidRPr="00B512D4" w:rsidRDefault="00E60D51" w:rsidP="00E60D51">
      <w:pPr>
        <w:pStyle w:val="BodyTextIndent2"/>
        <w:ind w:left="215"/>
        <w:jc w:val="right"/>
      </w:pPr>
      <w:r w:rsidRPr="00B512D4">
        <w:t>(Sēdes vadītāja,</w:t>
      </w:r>
    </w:p>
    <w:p w14:paraId="2C97B0E5" w14:textId="77777777" w:rsidR="00E60D51" w:rsidRPr="00833334" w:rsidRDefault="00E60D51" w:rsidP="00E60D51">
      <w:pPr>
        <w:pStyle w:val="BodyTextIndent2"/>
        <w:ind w:left="215"/>
        <w:jc w:val="right"/>
      </w:pPr>
      <w:r w:rsidRPr="00665BCF">
        <w:t>domes priekšsēdētāja</w:t>
      </w:r>
      <w:r>
        <w:t xml:space="preserve"> </w:t>
      </w:r>
      <w:proofErr w:type="spellStart"/>
      <w:r>
        <w:t>E.Helmaņa</w:t>
      </w:r>
      <w:proofErr w:type="spellEnd"/>
      <w:r w:rsidRPr="00665BCF">
        <w:t xml:space="preserve"> paraksts)</w:t>
      </w:r>
      <w:bookmarkStart w:id="1" w:name="_GoBack"/>
      <w:bookmarkEnd w:id="1"/>
    </w:p>
    <w:sectPr w:rsidR="00E60D51" w:rsidRPr="00833334"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6C8CC" w14:textId="77777777" w:rsidR="00BB3ED2" w:rsidRDefault="00BB3ED2" w:rsidP="00E60D51">
      <w:r>
        <w:separator/>
      </w:r>
    </w:p>
  </w:endnote>
  <w:endnote w:type="continuationSeparator" w:id="0">
    <w:p w14:paraId="544F0F7F" w14:textId="77777777" w:rsidR="00BB3ED2" w:rsidRDefault="00BB3ED2"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Footer"/>
      <w:jc w:val="center"/>
    </w:pPr>
  </w:p>
  <w:p w14:paraId="228E0D26" w14:textId="77777777" w:rsidR="00554157" w:rsidRDefault="00554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E1065" w14:textId="77777777" w:rsidR="00BB3ED2" w:rsidRDefault="00BB3ED2" w:rsidP="00E60D51">
      <w:r>
        <w:separator/>
      </w:r>
    </w:p>
  </w:footnote>
  <w:footnote w:type="continuationSeparator" w:id="0">
    <w:p w14:paraId="2764046B" w14:textId="77777777" w:rsidR="00BB3ED2" w:rsidRDefault="00BB3ED2" w:rsidP="00E60D51">
      <w:r>
        <w:continuationSeparator/>
      </w:r>
    </w:p>
  </w:footnote>
  <w:footnote w:id="1">
    <w:p w14:paraId="41D61AC1" w14:textId="3127226B" w:rsidR="00035C2D" w:rsidRDefault="00035C2D">
      <w:pPr>
        <w:pStyle w:val="FootnoteText"/>
      </w:pPr>
      <w:r>
        <w:rPr>
          <w:rStyle w:val="FootnoteReference"/>
        </w:rPr>
        <w:footnoteRef/>
      </w:r>
      <w:r>
        <w:t xml:space="preserve"> </w:t>
      </w:r>
      <w:hyperlink r:id="rId1" w:history="1">
        <w:r w:rsidRPr="0022697A">
          <w:rPr>
            <w:rStyle w:val="Hyperlink"/>
          </w:rPr>
          <w:t>https://tapis.gov.lv/tapis/lv/downloads/44050</w:t>
        </w:r>
      </w:hyperlink>
    </w:p>
  </w:footnote>
  <w:footnote w:id="2">
    <w:p w14:paraId="0A9122F6" w14:textId="213BC577" w:rsidR="00035C2D" w:rsidRDefault="00035C2D">
      <w:pPr>
        <w:pStyle w:val="FootnoteText"/>
      </w:pPr>
      <w:r>
        <w:rPr>
          <w:rStyle w:val="FootnoteReference"/>
        </w:rPr>
        <w:footnoteRef/>
      </w:r>
      <w:r>
        <w:t xml:space="preserve"> </w:t>
      </w:r>
      <w:hyperlink r:id="rId2" w:history="1">
        <w:r w:rsidRPr="0022697A">
          <w:rPr>
            <w:rStyle w:val="Hyperlink"/>
          </w:rPr>
          <w:t>https://tapis.gov.lv/tapis/lv/downloads/464</w:t>
        </w:r>
      </w:hyperlink>
    </w:p>
    <w:p w14:paraId="7AC97C04" w14:textId="77777777" w:rsidR="00035C2D" w:rsidRDefault="00035C2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76438"/>
    <w:multiLevelType w:val="hybridMultilevel"/>
    <w:tmpl w:val="182EFAB2"/>
    <w:lvl w:ilvl="0" w:tplc="06B4924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156F1"/>
    <w:rsid w:val="00035C2D"/>
    <w:rsid w:val="00040B2E"/>
    <w:rsid w:val="00126ED2"/>
    <w:rsid w:val="00194018"/>
    <w:rsid w:val="002016E7"/>
    <w:rsid w:val="00262A74"/>
    <w:rsid w:val="002D7E64"/>
    <w:rsid w:val="00341F7D"/>
    <w:rsid w:val="003944B9"/>
    <w:rsid w:val="003C03F5"/>
    <w:rsid w:val="00401C4A"/>
    <w:rsid w:val="004046D7"/>
    <w:rsid w:val="00411DF6"/>
    <w:rsid w:val="00453647"/>
    <w:rsid w:val="004640D8"/>
    <w:rsid w:val="004846CD"/>
    <w:rsid w:val="00497A9A"/>
    <w:rsid w:val="004A62B9"/>
    <w:rsid w:val="004D251E"/>
    <w:rsid w:val="00517C32"/>
    <w:rsid w:val="00554157"/>
    <w:rsid w:val="00567CDE"/>
    <w:rsid w:val="00642DC9"/>
    <w:rsid w:val="00723D50"/>
    <w:rsid w:val="00775D54"/>
    <w:rsid w:val="007844FE"/>
    <w:rsid w:val="007C0E83"/>
    <w:rsid w:val="007F275D"/>
    <w:rsid w:val="00895A54"/>
    <w:rsid w:val="008E6B63"/>
    <w:rsid w:val="009C061A"/>
    <w:rsid w:val="00A63977"/>
    <w:rsid w:val="00A800DA"/>
    <w:rsid w:val="00A838C4"/>
    <w:rsid w:val="00AD18CB"/>
    <w:rsid w:val="00AD4CA2"/>
    <w:rsid w:val="00B11794"/>
    <w:rsid w:val="00B314A8"/>
    <w:rsid w:val="00B64E49"/>
    <w:rsid w:val="00BB3ED2"/>
    <w:rsid w:val="00BB6320"/>
    <w:rsid w:val="00C56EB3"/>
    <w:rsid w:val="00C83959"/>
    <w:rsid w:val="00CD29A5"/>
    <w:rsid w:val="00DD3153"/>
    <w:rsid w:val="00E17239"/>
    <w:rsid w:val="00E60D51"/>
    <w:rsid w:val="00F95F2C"/>
    <w:rsid w:val="00FD2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2C16F984-D620-4AD0-83D8-837CC0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4">
    <w:name w:val="heading 4"/>
    <w:basedOn w:val="Normal"/>
    <w:next w:val="Normal"/>
    <w:link w:val="Heading4Char"/>
    <w:qFormat/>
    <w:rsid w:val="00E60D5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0D51"/>
    <w:rPr>
      <w:rFonts w:ascii="Times New Roman" w:eastAsia="Times New Roman" w:hAnsi="Times New Roman" w:cs="Times New Roman"/>
      <w:b/>
      <w:bCs/>
      <w:kern w:val="0"/>
      <w:sz w:val="28"/>
      <w:szCs w:val="28"/>
      <w:lang w:eastAsia="lv-LV"/>
      <w14:ligatures w14:val="none"/>
    </w:rPr>
  </w:style>
  <w:style w:type="paragraph" w:styleId="BodyTextIndent2">
    <w:name w:val="Body Text Indent 2"/>
    <w:basedOn w:val="Normal"/>
    <w:link w:val="BodyTextIndent2Char"/>
    <w:rsid w:val="00E60D51"/>
    <w:pPr>
      <w:ind w:left="-142"/>
      <w:jc w:val="both"/>
    </w:pPr>
    <w:rPr>
      <w:szCs w:val="20"/>
      <w:lang w:eastAsia="en-US"/>
    </w:rPr>
  </w:style>
  <w:style w:type="character" w:customStyle="1" w:styleId="BodyTextIndent2Char">
    <w:name w:val="Body Text Indent 2 Char"/>
    <w:basedOn w:val="DefaultParagraphFont"/>
    <w:link w:val="BodyTextIndent2"/>
    <w:rsid w:val="00E60D51"/>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E60D51"/>
    <w:pPr>
      <w:tabs>
        <w:tab w:val="center" w:pos="4153"/>
        <w:tab w:val="right" w:pos="8306"/>
      </w:tabs>
    </w:pPr>
    <w:rPr>
      <w:lang w:val="x-none" w:eastAsia="x-none"/>
    </w:rPr>
  </w:style>
  <w:style w:type="character" w:customStyle="1" w:styleId="FooterChar">
    <w:name w:val="Footer Char"/>
    <w:basedOn w:val="DefaultParagraphFont"/>
    <w:link w:val="Footer"/>
    <w:rsid w:val="00E60D51"/>
    <w:rPr>
      <w:rFonts w:ascii="Times New Roman" w:eastAsia="Times New Roman" w:hAnsi="Times New Roman" w:cs="Times New Roman"/>
      <w:kern w:val="0"/>
      <w:sz w:val="24"/>
      <w:szCs w:val="24"/>
      <w:lang w:val="x-none" w:eastAsia="x-none"/>
      <w14:ligatures w14:val="none"/>
    </w:rPr>
  </w:style>
  <w:style w:type="character" w:styleId="Hyperlink">
    <w:name w:val="Hyperlink"/>
    <w:basedOn w:val="DefaultParagraphFont"/>
    <w:uiPriority w:val="99"/>
    <w:unhideWhenUsed/>
    <w:rsid w:val="00E60D51"/>
    <w:rPr>
      <w:color w:val="0563C1" w:themeColor="hyperlink"/>
      <w:u w:val="single"/>
    </w:rPr>
  </w:style>
  <w:style w:type="paragraph" w:styleId="FootnoteText">
    <w:name w:val="footnote text"/>
    <w:basedOn w:val="Normal"/>
    <w:link w:val="FootnoteTextChar"/>
    <w:rsid w:val="00E60D51"/>
    <w:rPr>
      <w:sz w:val="20"/>
      <w:szCs w:val="20"/>
    </w:rPr>
  </w:style>
  <w:style w:type="character" w:customStyle="1" w:styleId="FootnoteTextChar">
    <w:name w:val="Footnote Text Char"/>
    <w:basedOn w:val="DefaultParagraphFont"/>
    <w:link w:val="FootnoteText"/>
    <w:rsid w:val="00E60D51"/>
    <w:rPr>
      <w:rFonts w:ascii="Times New Roman" w:eastAsia="Times New Roman" w:hAnsi="Times New Roman" w:cs="Times New Roman"/>
      <w:kern w:val="0"/>
      <w:sz w:val="20"/>
      <w:szCs w:val="20"/>
      <w:lang w:eastAsia="lv-LV"/>
      <w14:ligatures w14:val="none"/>
    </w:rPr>
  </w:style>
  <w:style w:type="character" w:styleId="FootnoteReference">
    <w:name w:val="footnote reference"/>
    <w:rsid w:val="00E60D51"/>
    <w:rPr>
      <w:vertAlign w:val="superscript"/>
    </w:rPr>
  </w:style>
  <w:style w:type="paragraph" w:styleId="NormalWeb">
    <w:name w:val="Normal (Web)"/>
    <w:basedOn w:val="Normal"/>
    <w:uiPriority w:val="99"/>
    <w:unhideWhenUsed/>
    <w:rsid w:val="002016E7"/>
    <w:pPr>
      <w:spacing w:before="100" w:beforeAutospacing="1" w:after="100" w:afterAutospacing="1"/>
    </w:pPr>
  </w:style>
  <w:style w:type="paragraph" w:styleId="EndnoteText">
    <w:name w:val="endnote text"/>
    <w:basedOn w:val="Normal"/>
    <w:link w:val="EndnoteTextChar"/>
    <w:uiPriority w:val="99"/>
    <w:semiHidden/>
    <w:unhideWhenUsed/>
    <w:rsid w:val="00035C2D"/>
    <w:rPr>
      <w:sz w:val="20"/>
      <w:szCs w:val="20"/>
    </w:rPr>
  </w:style>
  <w:style w:type="character" w:customStyle="1" w:styleId="EndnoteTextChar">
    <w:name w:val="Endnote Text Char"/>
    <w:basedOn w:val="DefaultParagraphFont"/>
    <w:link w:val="EndnoteText"/>
    <w:uiPriority w:val="99"/>
    <w:semiHidden/>
    <w:rsid w:val="00035C2D"/>
    <w:rPr>
      <w:rFonts w:ascii="Times New Roman" w:eastAsia="Times New Roman"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035C2D"/>
    <w:rPr>
      <w:vertAlign w:val="superscript"/>
    </w:rPr>
  </w:style>
  <w:style w:type="character" w:customStyle="1" w:styleId="Neatrisintapieminana1">
    <w:name w:val="Neatrisināta pieminēšana1"/>
    <w:basedOn w:val="DefaultParagraphFont"/>
    <w:uiPriority w:val="99"/>
    <w:semiHidden/>
    <w:unhideWhenUsed/>
    <w:rsid w:val="00035C2D"/>
    <w:rPr>
      <w:color w:val="605E5C"/>
      <w:shd w:val="clear" w:color="auto" w:fill="E1DFDD"/>
    </w:rPr>
  </w:style>
  <w:style w:type="character" w:styleId="FollowedHyperlink">
    <w:name w:val="FollowedHyperlink"/>
    <w:basedOn w:val="DefaultParagraphFont"/>
    <w:uiPriority w:val="99"/>
    <w:semiHidden/>
    <w:unhideWhenUsed/>
    <w:rsid w:val="00035C2D"/>
    <w:rPr>
      <w:color w:val="954F72" w:themeColor="followedHyperlink"/>
      <w:u w:val="single"/>
    </w:rPr>
  </w:style>
  <w:style w:type="paragraph" w:styleId="Revision">
    <w:name w:val="Revision"/>
    <w:hidden/>
    <w:uiPriority w:val="99"/>
    <w:semiHidden/>
    <w:rsid w:val="004640D8"/>
    <w:pPr>
      <w:spacing w:after="0" w:line="240" w:lineRule="auto"/>
    </w:pPr>
    <w:rPr>
      <w:rFonts w:ascii="Times New Roman" w:eastAsia="Times New Roman" w:hAnsi="Times New Roman" w:cs="Times New Roman"/>
      <w:kern w:val="0"/>
      <w:sz w:val="24"/>
      <w:szCs w:val="24"/>
      <w:lang w:eastAsia="lv-LV"/>
      <w14:ligatures w14:val="none"/>
    </w:rPr>
  </w:style>
  <w:style w:type="paragraph" w:styleId="BalloonText">
    <w:name w:val="Balloon Text"/>
    <w:basedOn w:val="Normal"/>
    <w:link w:val="BalloonTextChar"/>
    <w:uiPriority w:val="99"/>
    <w:semiHidden/>
    <w:unhideWhenUsed/>
    <w:rsid w:val="007F27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75D"/>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464" TargetMode="External"/><Relationship Id="rId1" Type="http://schemas.openxmlformats.org/officeDocument/2006/relationships/hyperlink" Target="https://tapis.gov.lv/tapis/lv/downloads/4405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65304-5DBA-4ED9-BACB-25E883FD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3609</Words>
  <Characters>2058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Arita Bauska</cp:lastModifiedBy>
  <cp:revision>2</cp:revision>
  <cp:lastPrinted>2023-09-29T07:22:00Z</cp:lastPrinted>
  <dcterms:created xsi:type="dcterms:W3CDTF">2023-09-29T07:24:00Z</dcterms:created>
  <dcterms:modified xsi:type="dcterms:W3CDTF">2023-09-29T07:24:00Z</dcterms:modified>
</cp:coreProperties>
</file>