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46277" w14:textId="77777777" w:rsidR="00ED1589" w:rsidRDefault="00ED1589" w:rsidP="00ED1589">
      <w:pPr>
        <w:jc w:val="center"/>
        <w:rPr>
          <w:noProof/>
        </w:rPr>
      </w:pPr>
      <w:bookmarkStart w:id="0" w:name="_Hlk92368678"/>
    </w:p>
    <w:p w14:paraId="52C26252" w14:textId="77777777" w:rsidR="00ED1589" w:rsidRPr="00C14B58" w:rsidRDefault="00ED1589" w:rsidP="00ED1589">
      <w:pPr>
        <w:jc w:val="center"/>
        <w:rPr>
          <w:rFonts w:ascii="RimBelwe" w:hAnsi="RimBelwe"/>
          <w:noProof/>
          <w:sz w:val="12"/>
          <w:szCs w:val="28"/>
        </w:rPr>
      </w:pPr>
    </w:p>
    <w:p w14:paraId="0642BDA2" w14:textId="7D83B981" w:rsidR="00ED1589" w:rsidRPr="00CE683F" w:rsidRDefault="00ED1589" w:rsidP="00ED1589">
      <w:pPr>
        <w:jc w:val="center"/>
        <w:rPr>
          <w:rFonts w:ascii="RimBelwe" w:hAnsi="RimBelwe" w:cs="RimBelwe"/>
          <w:sz w:val="12"/>
          <w:szCs w:val="28"/>
        </w:rPr>
      </w:pPr>
      <w:r w:rsidRPr="00CE683F">
        <w:rPr>
          <w:noProof/>
        </w:rPr>
        <w:drawing>
          <wp:inline distT="0" distB="0" distL="0" distR="0" wp14:anchorId="5D09A178" wp14:editId="5E40F855">
            <wp:extent cx="609600" cy="717550"/>
            <wp:effectExtent l="0" t="0" r="0" b="6350"/>
            <wp:docPr id="5469082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solidFill>
                      <a:srgbClr val="FFFFFF"/>
                    </a:solidFill>
                    <a:ln>
                      <a:noFill/>
                    </a:ln>
                  </pic:spPr>
                </pic:pic>
              </a:graphicData>
            </a:graphic>
          </wp:inline>
        </w:drawing>
      </w:r>
    </w:p>
    <w:p w14:paraId="49719B29" w14:textId="77777777" w:rsidR="00ED1589" w:rsidRPr="00CE683F" w:rsidRDefault="00ED1589" w:rsidP="00ED1589">
      <w:pPr>
        <w:jc w:val="center"/>
        <w:rPr>
          <w:rFonts w:ascii="RimBelwe" w:hAnsi="RimBelwe" w:cs="RimBelwe"/>
          <w:sz w:val="12"/>
          <w:szCs w:val="28"/>
        </w:rPr>
      </w:pPr>
    </w:p>
    <w:p w14:paraId="265A4D49" w14:textId="77777777" w:rsidR="00ED1589" w:rsidRPr="00CE683F" w:rsidRDefault="00ED1589" w:rsidP="00ED1589">
      <w:pPr>
        <w:jc w:val="center"/>
        <w:rPr>
          <w:sz w:val="18"/>
        </w:rPr>
      </w:pPr>
      <w:r w:rsidRPr="00CE683F">
        <w:rPr>
          <w:sz w:val="36"/>
        </w:rPr>
        <w:t>OGRES  NOVADA  PAŠVALDĪBA</w:t>
      </w:r>
    </w:p>
    <w:p w14:paraId="7153B7BE" w14:textId="77777777" w:rsidR="00ED1589" w:rsidRPr="00CE683F" w:rsidRDefault="00ED1589" w:rsidP="00ED1589">
      <w:pPr>
        <w:jc w:val="center"/>
        <w:rPr>
          <w:sz w:val="18"/>
        </w:rPr>
      </w:pPr>
      <w:r w:rsidRPr="00CE683F">
        <w:rPr>
          <w:sz w:val="18"/>
        </w:rPr>
        <w:t>Reģ.Nr.90000024455, Brīvības iela 33, Ogre, Ogres nov., LV-5001</w:t>
      </w:r>
    </w:p>
    <w:p w14:paraId="33BCE624" w14:textId="77777777" w:rsidR="00ED1589" w:rsidRPr="00CE683F" w:rsidRDefault="00ED1589" w:rsidP="00ED1589">
      <w:pPr>
        <w:pBdr>
          <w:bottom w:val="single" w:sz="4" w:space="1" w:color="000000"/>
        </w:pBdr>
        <w:jc w:val="center"/>
        <w:rPr>
          <w:szCs w:val="32"/>
        </w:rPr>
      </w:pPr>
      <w:r w:rsidRPr="00CE683F">
        <w:rPr>
          <w:sz w:val="18"/>
        </w:rPr>
        <w:t xml:space="preserve">tālrunis 65071160, e-pasts: ogredome@ogresnovads.lv, www.ogresnovads.lv </w:t>
      </w:r>
    </w:p>
    <w:p w14:paraId="70D5BF21" w14:textId="77777777" w:rsidR="00ED1589" w:rsidRPr="00CE683F" w:rsidRDefault="00ED1589" w:rsidP="00ED1589">
      <w:pPr>
        <w:rPr>
          <w:sz w:val="28"/>
          <w:szCs w:val="28"/>
        </w:rPr>
      </w:pPr>
    </w:p>
    <w:p w14:paraId="53123CD7" w14:textId="77777777" w:rsidR="00ED1589" w:rsidRPr="00CE683F" w:rsidRDefault="00ED1589" w:rsidP="00ED1589">
      <w:pPr>
        <w:jc w:val="center"/>
      </w:pPr>
      <w:r w:rsidRPr="00CE683F">
        <w:rPr>
          <w:sz w:val="28"/>
          <w:szCs w:val="28"/>
        </w:rPr>
        <w:t>PAŠVALDĪBAS DOMES SĒDES PROTOKOLA IZRAKSTS</w:t>
      </w:r>
    </w:p>
    <w:p w14:paraId="7DB4D4A6" w14:textId="77777777" w:rsidR="00ED1589" w:rsidRPr="00CE683F" w:rsidRDefault="00ED1589" w:rsidP="00ED1589">
      <w:pPr>
        <w:jc w:val="center"/>
      </w:pPr>
    </w:p>
    <w:p w14:paraId="1D4EEEA0" w14:textId="77777777" w:rsidR="00ED1589" w:rsidRPr="00CE683F" w:rsidRDefault="00ED1589" w:rsidP="00ED1589">
      <w:pPr>
        <w:tabs>
          <w:tab w:val="left" w:pos="6975"/>
        </w:tabs>
      </w:pPr>
      <w:r w:rsidRPr="00CE683F">
        <w:tab/>
      </w:r>
    </w:p>
    <w:tbl>
      <w:tblPr>
        <w:tblW w:w="0" w:type="auto"/>
        <w:tblLayout w:type="fixed"/>
        <w:tblLook w:val="0000" w:firstRow="0" w:lastRow="0" w:firstColumn="0" w:lastColumn="0" w:noHBand="0" w:noVBand="0"/>
      </w:tblPr>
      <w:tblGrid>
        <w:gridCol w:w="3022"/>
        <w:gridCol w:w="3023"/>
        <w:gridCol w:w="2994"/>
      </w:tblGrid>
      <w:tr w:rsidR="00ED1589" w:rsidRPr="00CE683F" w14:paraId="525D1DCB" w14:textId="77777777" w:rsidTr="002B2559">
        <w:trPr>
          <w:trHeight w:val="187"/>
        </w:trPr>
        <w:tc>
          <w:tcPr>
            <w:tcW w:w="3022" w:type="dxa"/>
            <w:shd w:val="clear" w:color="auto" w:fill="auto"/>
          </w:tcPr>
          <w:p w14:paraId="78252F96" w14:textId="77777777" w:rsidR="00ED1589" w:rsidRPr="00CE683F" w:rsidRDefault="00ED1589" w:rsidP="000227D1">
            <w:r w:rsidRPr="00CE683F">
              <w:t>Ogrē, Brīvības ielā 33</w:t>
            </w:r>
          </w:p>
        </w:tc>
        <w:tc>
          <w:tcPr>
            <w:tcW w:w="3023" w:type="dxa"/>
            <w:shd w:val="clear" w:color="auto" w:fill="auto"/>
          </w:tcPr>
          <w:p w14:paraId="459F87ED" w14:textId="0AD0C0E9" w:rsidR="00ED1589" w:rsidRPr="00CE683F" w:rsidRDefault="00ED1589" w:rsidP="00E077FF">
            <w:pPr>
              <w:pStyle w:val="Heading4"/>
              <w:tabs>
                <w:tab w:val="num" w:pos="1326"/>
              </w:tabs>
              <w:spacing w:before="0" w:after="80"/>
              <w:ind w:left="-91"/>
              <w:jc w:val="center"/>
            </w:pPr>
            <w:r w:rsidRPr="00CE683F">
              <w:rPr>
                <w:sz w:val="24"/>
                <w:szCs w:val="24"/>
              </w:rPr>
              <w:t>Nr.</w:t>
            </w:r>
            <w:r w:rsidR="00E077FF">
              <w:rPr>
                <w:sz w:val="24"/>
                <w:szCs w:val="24"/>
              </w:rPr>
              <w:t>10</w:t>
            </w:r>
          </w:p>
        </w:tc>
        <w:tc>
          <w:tcPr>
            <w:tcW w:w="2994" w:type="dxa"/>
            <w:shd w:val="clear" w:color="auto" w:fill="auto"/>
          </w:tcPr>
          <w:p w14:paraId="142E6172" w14:textId="3BA055CE" w:rsidR="00ED1589" w:rsidRPr="00CE683F" w:rsidRDefault="00ED1589" w:rsidP="000227D1">
            <w:pPr>
              <w:jc w:val="right"/>
            </w:pPr>
            <w:r w:rsidRPr="00CE683F">
              <w:t>202</w:t>
            </w:r>
            <w:r w:rsidR="002B617D">
              <w:t>4. g</w:t>
            </w:r>
            <w:r w:rsidRPr="00CE683F">
              <w:t>ada 2</w:t>
            </w:r>
            <w:r w:rsidR="002B617D">
              <w:t>7. jūnijā</w:t>
            </w:r>
            <w:r w:rsidRPr="00CE683F">
              <w:t xml:space="preserve">  </w:t>
            </w:r>
          </w:p>
        </w:tc>
      </w:tr>
    </w:tbl>
    <w:p w14:paraId="233E13DC" w14:textId="77777777" w:rsidR="00E077FF" w:rsidRDefault="00ED1589" w:rsidP="000227D1">
      <w:pPr>
        <w:ind w:left="-142"/>
        <w:jc w:val="center"/>
        <w:rPr>
          <w:b/>
          <w:bCs/>
        </w:rPr>
      </w:pPr>
      <w:r w:rsidRPr="00CE683F">
        <w:rPr>
          <w:b/>
          <w:bCs/>
        </w:rPr>
        <w:t xml:space="preserve">   </w:t>
      </w:r>
    </w:p>
    <w:p w14:paraId="71117402" w14:textId="1F8CB11F" w:rsidR="00ED1589" w:rsidRPr="00CE683F" w:rsidRDefault="00E077FF" w:rsidP="000227D1">
      <w:pPr>
        <w:ind w:left="-142"/>
        <w:jc w:val="center"/>
        <w:rPr>
          <w:b/>
          <w:u w:val="single"/>
        </w:rPr>
      </w:pPr>
      <w:r>
        <w:rPr>
          <w:b/>
          <w:bCs/>
        </w:rPr>
        <w:t>16</w:t>
      </w:r>
      <w:r w:rsidR="00ED1589" w:rsidRPr="00CE683F">
        <w:rPr>
          <w:b/>
          <w:bCs/>
        </w:rPr>
        <w:t>.</w:t>
      </w:r>
    </w:p>
    <w:p w14:paraId="3AE0832B" w14:textId="5B78A5CD" w:rsidR="00634DBF" w:rsidRDefault="00B71669" w:rsidP="002B617D">
      <w:pPr>
        <w:tabs>
          <w:tab w:val="left" w:pos="3660"/>
          <w:tab w:val="center" w:pos="4082"/>
        </w:tabs>
        <w:spacing w:after="200"/>
        <w:ind w:left="-142"/>
        <w:jc w:val="center"/>
        <w:rPr>
          <w:b/>
          <w:u w:val="single"/>
        </w:rPr>
      </w:pPr>
      <w:bookmarkStart w:id="1" w:name="_Hlk145344305"/>
      <w:r w:rsidRPr="00B71669">
        <w:rPr>
          <w:b/>
          <w:u w:val="single"/>
        </w:rPr>
        <w:t xml:space="preserve">Par detālplānojuma izstrādes uzsākšanu </w:t>
      </w:r>
      <w:bookmarkStart w:id="2" w:name="_Hlk169163356"/>
      <w:r w:rsidRPr="00B71669">
        <w:rPr>
          <w:b/>
          <w:u w:val="single"/>
        </w:rPr>
        <w:t>nekustamā īpašuma „</w:t>
      </w:r>
      <w:r w:rsidR="002B617D">
        <w:rPr>
          <w:b/>
          <w:u w:val="single"/>
        </w:rPr>
        <w:t>Dzilnas</w:t>
      </w:r>
      <w:r w:rsidRPr="00B71669">
        <w:rPr>
          <w:b/>
          <w:u w:val="single"/>
        </w:rPr>
        <w:t xml:space="preserve">”, </w:t>
      </w:r>
      <w:r w:rsidR="002B617D">
        <w:rPr>
          <w:b/>
          <w:u w:val="single"/>
        </w:rPr>
        <w:t xml:space="preserve">Madlienas </w:t>
      </w:r>
      <w:r w:rsidRPr="00B71669">
        <w:rPr>
          <w:b/>
          <w:u w:val="single"/>
        </w:rPr>
        <w:t xml:space="preserve">pag., Ogres nov., kadastra numurs </w:t>
      </w:r>
      <w:r w:rsidR="002B617D" w:rsidRPr="002B617D">
        <w:rPr>
          <w:b/>
          <w:u w:val="single"/>
        </w:rPr>
        <w:t>74680080048</w:t>
      </w:r>
      <w:r w:rsidRPr="00B71669">
        <w:rPr>
          <w:b/>
          <w:u w:val="single"/>
        </w:rPr>
        <w:t xml:space="preserve">, sastāvā esošajai zemes vienībai ar kadastra apzīmējumu </w:t>
      </w:r>
      <w:r w:rsidR="002B617D" w:rsidRPr="002B617D">
        <w:rPr>
          <w:b/>
          <w:u w:val="single"/>
        </w:rPr>
        <w:t>74680080048</w:t>
      </w:r>
      <w:bookmarkEnd w:id="2"/>
    </w:p>
    <w:bookmarkEnd w:id="0"/>
    <w:bookmarkEnd w:id="1"/>
    <w:p w14:paraId="332DA2EE" w14:textId="08C4051D" w:rsidR="0033348A" w:rsidRDefault="0033348A" w:rsidP="009D4675">
      <w:pPr>
        <w:spacing w:after="60" w:line="276" w:lineRule="auto"/>
        <w:ind w:firstLine="567"/>
        <w:jc w:val="both"/>
      </w:pPr>
      <w:r>
        <w:t xml:space="preserve">2024. gada </w:t>
      </w:r>
      <w:r w:rsidR="00072111">
        <w:t xml:space="preserve">11. jūnijā </w:t>
      </w:r>
      <w:r w:rsidR="00093A13">
        <w:t>Ogres novada pašvaldībā (turpmāk – Pašvaldība) saņemts fiziskās personas I. M. un sabiedrības ar ierobežotu atbildību (turpmāk – SIA) “DM Sand” iesniegums (reģistrēts Pašvaldībā ar Nr. </w:t>
      </w:r>
      <w:r w:rsidR="00093A13" w:rsidRPr="00093A13">
        <w:t>2-4.1/</w:t>
      </w:r>
      <w:r w:rsidR="00072111">
        <w:t>3093</w:t>
      </w:r>
      <w:r w:rsidR="00093A13">
        <w:t xml:space="preserve">) (turpmāk – Iesniegums), kurā lūgts atļaut uzsākt detālplānojuma izstrādi nekustamā īpašuma “Dzilnas”, Madlienas pag., Ogres nov., kadastra Nr. </w:t>
      </w:r>
      <w:r w:rsidR="00093A13" w:rsidRPr="00093A13">
        <w:t>74680080048</w:t>
      </w:r>
      <w:r w:rsidR="00093A13">
        <w:t xml:space="preserve">, (turpmāk – Nekustamais īpašums) sastāvā esošajai zemes vienībai ar kadastra apzīmējumu </w:t>
      </w:r>
      <w:r w:rsidR="00093A13" w:rsidRPr="00093A13">
        <w:t>74680080048</w:t>
      </w:r>
      <w:r w:rsidR="00093A13">
        <w:t xml:space="preserve"> (turpmāk – Zemes vienība)</w:t>
      </w:r>
      <w:r w:rsidR="00861291">
        <w:t xml:space="preserve">, ar mērķi pamatot derīgo izrakteņu ieguvi (turpmāk – Paredzētā darbība). </w:t>
      </w:r>
    </w:p>
    <w:p w14:paraId="797B0CE1" w14:textId="1DB05905" w:rsidR="00861291" w:rsidRDefault="00861291" w:rsidP="00CF36B4">
      <w:pPr>
        <w:spacing w:after="20" w:line="276" w:lineRule="auto"/>
        <w:ind w:firstLine="567"/>
        <w:jc w:val="both"/>
      </w:pPr>
      <w:r>
        <w:t xml:space="preserve">Saskaņā ar Pašvaldībai pieejamo informāciju Valsts vides dienests 2024. gada 20. maijā ir veicis Paredzētās darbības ietekmes sākotnējo </w:t>
      </w:r>
      <w:proofErr w:type="spellStart"/>
      <w:r>
        <w:t>izvērtējumu</w:t>
      </w:r>
      <w:proofErr w:type="spellEnd"/>
      <w:r>
        <w:t xml:space="preserve"> Nr. </w:t>
      </w:r>
      <w:r w:rsidRPr="00861291">
        <w:t>AP24SI0186</w:t>
      </w:r>
      <w:r w:rsidR="00CF36B4">
        <w:t xml:space="preserve">, </w:t>
      </w:r>
      <w:r w:rsidR="00B7363E">
        <w:t>tostarp secinot:</w:t>
      </w:r>
    </w:p>
    <w:p w14:paraId="3088B75A" w14:textId="2A9521D8" w:rsidR="00861291" w:rsidRDefault="00861291" w:rsidP="00CF36B4">
      <w:pPr>
        <w:spacing w:after="20" w:line="276" w:lineRule="auto"/>
        <w:ind w:left="284"/>
        <w:jc w:val="both"/>
      </w:pPr>
      <w:r>
        <w:t>[1] Paredzētā darbība neatbilst likuma “Par ietekmes uz vidi novērtējumu” 4. panta un 1. pielikumā noteiktajām darbībām, kurām piemērojams ietekmes uz vidi novērtējums;</w:t>
      </w:r>
    </w:p>
    <w:p w14:paraId="07EEBA29" w14:textId="1D2AFC1F" w:rsidR="00861291" w:rsidRDefault="00861291" w:rsidP="00CF36B4">
      <w:pPr>
        <w:spacing w:after="20" w:line="276" w:lineRule="auto"/>
        <w:ind w:left="284"/>
        <w:jc w:val="both"/>
      </w:pPr>
      <w:r>
        <w:t>[2] derīgo izrakteņu ieguve un ar šo darbību saistītā ietekme uz vidi atbilstoši likuma “Par ietekmes uz vidi novērtējumu” 11. panta kritērijiem netiek klasificēta tik nozīmīga vai kompleksa, lai būtu nepieciešams piemērot ietekmes uz vidi novērtējuma procedūru, tā kā tā ir vērtējama tikai kā nozīmīga lokālā mērogā, nav saistīta ar būtisku piesārņojuma risku un to nevar uzskatīt par tādu, kas var radīt negatīvu ietekmi uz apkārtējo iedzīvotāju dzīves kvalitāti, drošību un veselību; ar atradnes rekultivāciju beigsies arī ietekmju darbība</w:t>
      </w:r>
      <w:r w:rsidR="00BC7632">
        <w:t>;</w:t>
      </w:r>
    </w:p>
    <w:p w14:paraId="7D6F288D" w14:textId="53EA1A21" w:rsidR="00861291" w:rsidRDefault="00861291" w:rsidP="00B7363E">
      <w:pPr>
        <w:spacing w:after="60" w:line="276" w:lineRule="auto"/>
        <w:ind w:left="284"/>
        <w:jc w:val="both"/>
      </w:pPr>
      <w:r>
        <w:t xml:space="preserve">[3] Paredzētās darbības realizācija neradīs summāri būtiski negatīvu ietekmi ar citām blakus esošajām derīgo izrakteņu ieguves vietām, iespējamās ietekmes ir zināmas un pārvaldāmas ar nosacījumiem tehniskajos noteikumos un ieguves atļaujā. </w:t>
      </w:r>
    </w:p>
    <w:p w14:paraId="56F93FA0" w14:textId="08E7BB4F" w:rsidR="00B7363E" w:rsidRDefault="00B7363E" w:rsidP="00861291">
      <w:pPr>
        <w:spacing w:after="60" w:line="276" w:lineRule="auto"/>
        <w:ind w:firstLine="567"/>
        <w:jc w:val="both"/>
      </w:pPr>
      <w:r>
        <w:t>Ņemot vērā minēto, VVD pieņēma lēmumu nepiemērot ietekmes uz vidi novērtējuma procedūru Paredzētajai darbībai.</w:t>
      </w:r>
    </w:p>
    <w:p w14:paraId="3073C1C2" w14:textId="77777777" w:rsidR="00BC7632" w:rsidRDefault="00B7363E" w:rsidP="00BC7632">
      <w:pPr>
        <w:spacing w:after="60" w:line="276" w:lineRule="auto"/>
        <w:ind w:firstLine="567"/>
        <w:jc w:val="both"/>
      </w:pPr>
      <w:r>
        <w:t>Īpašumtiesības uz Nekustamo īpašumu ir nostiprinātas Madlienas pagasta zemesgrāmatas nodalījumā Nr. 230 fiziskajai personai I. M.</w:t>
      </w:r>
      <w:r w:rsidR="00BC7632" w:rsidRPr="00BC7632">
        <w:t xml:space="preserve"> </w:t>
      </w:r>
    </w:p>
    <w:p w14:paraId="3D0988B0" w14:textId="63DD039F" w:rsidR="00B7363E" w:rsidRPr="00EE597F" w:rsidRDefault="00BC7632" w:rsidP="00BC7632">
      <w:pPr>
        <w:spacing w:after="60" w:line="276" w:lineRule="auto"/>
        <w:ind w:firstLine="567"/>
        <w:jc w:val="both"/>
      </w:pPr>
      <w:r>
        <w:t xml:space="preserve">2024. gada 6. jūnijā SIA “DM Sand” iesniedza Pašvaldībā ar Paredzēto darbību saistītos dokumentus (iesniegums reģistrēts Pašvaldībā ar Nr. </w:t>
      </w:r>
      <w:r w:rsidRPr="009E563C">
        <w:t>2-4.1/2987</w:t>
      </w:r>
      <w:r>
        <w:t xml:space="preserve">). Minētajam iesniegumam pievienots arī 2023. gada 13. septembrī starp fizisko personu I. M. un SIA “DM Sand” </w:t>
      </w:r>
      <w:r>
        <w:lastRenderedPageBreak/>
        <w:t xml:space="preserve">noslēgtais nomas līgums Nr. 1 (turpmāk – Līgums) par Zemes vienību. Līguma darbības laiks – </w:t>
      </w:r>
      <w:r w:rsidRPr="00EE597F">
        <w:t xml:space="preserve">12 gadi no tā parakstīšanas dienas. </w:t>
      </w:r>
    </w:p>
    <w:p w14:paraId="76295BB6" w14:textId="5E2F3A7C" w:rsidR="000E7964" w:rsidRPr="00EE597F" w:rsidRDefault="000E7964" w:rsidP="000E7964">
      <w:pPr>
        <w:spacing w:after="60" w:line="276" w:lineRule="auto"/>
        <w:ind w:firstLine="567"/>
        <w:jc w:val="both"/>
      </w:pPr>
      <w:r w:rsidRPr="00EE597F">
        <w:t xml:space="preserve">Zemes vienības zemes lietošanas mērķis – </w:t>
      </w:r>
      <w:r w:rsidRPr="00EE597F">
        <w:rPr>
          <w:i/>
          <w:iCs/>
        </w:rPr>
        <w:t>zeme, uz kuras galvenā saimnieciskā darbība ir lauksaimniecība (0101)</w:t>
      </w:r>
      <w:r w:rsidRPr="00EE597F">
        <w:t>.</w:t>
      </w:r>
    </w:p>
    <w:p w14:paraId="073B7972" w14:textId="160215E0" w:rsidR="000D078D" w:rsidRPr="00EE597F" w:rsidRDefault="000D078D" w:rsidP="000E7964">
      <w:pPr>
        <w:spacing w:after="60" w:line="276" w:lineRule="auto"/>
        <w:ind w:firstLine="567"/>
        <w:jc w:val="both"/>
      </w:pPr>
      <w:r w:rsidRPr="00EE597F">
        <w:t>Zemes pārvaldības likuma 4. panta pirmās daļas 1.</w:t>
      </w:r>
      <w:r w:rsidRPr="00EE597F">
        <w:rPr>
          <w:vertAlign w:val="superscript"/>
        </w:rPr>
        <w:t>1</w:t>
      </w:r>
      <w:r w:rsidRPr="00EE597F">
        <w:t xml:space="preserve"> punkts nosaka, ka, ja lauksaimniecībā izmantojamās zemes kvalitātes </w:t>
      </w:r>
      <w:r w:rsidR="008A4939" w:rsidRPr="00EE597F">
        <w:t xml:space="preserve">novērtējums ir augstāks par 45 ballēm, bet </w:t>
      </w:r>
      <w:r w:rsidR="001325C5" w:rsidRPr="00EE597F">
        <w:t xml:space="preserve">nepārsniedz 50 balles, vietējā pašvaldība var noteikt ierobežojumus zemes sadrumstalošanai un zemes lietošanas kategorijas maiņai. Saskaņā ar Kadastra informācijas sistēmā pieejamo Zemes vienības kadastrālās vērtības aprēķinu vidējais lauksaimniecībā izmantojamās zemes kvalitātes novērtējums ir 45 balles. </w:t>
      </w:r>
    </w:p>
    <w:p w14:paraId="50A12310" w14:textId="39C93AC8" w:rsidR="00AC45CF" w:rsidRDefault="00AC45CF" w:rsidP="00861291">
      <w:pPr>
        <w:spacing w:after="60" w:line="276" w:lineRule="auto"/>
        <w:ind w:firstLine="567"/>
        <w:jc w:val="both"/>
      </w:pPr>
      <w:r w:rsidRPr="00EE597F">
        <w:t>Saskaņā ar Pašvaldības 2012.</w:t>
      </w:r>
      <w:r w:rsidR="000E7964" w:rsidRPr="00EE597F">
        <w:t> </w:t>
      </w:r>
      <w:r w:rsidRPr="00EE597F">
        <w:t>gada 21.</w:t>
      </w:r>
      <w:r w:rsidR="000E7964" w:rsidRPr="00EE597F">
        <w:t> </w:t>
      </w:r>
      <w:r w:rsidRPr="00EE597F">
        <w:t>jūnija saistošo noteikumu Nr.</w:t>
      </w:r>
      <w:r w:rsidR="000E7964" w:rsidRPr="00EE597F">
        <w:t> </w:t>
      </w:r>
      <w:r w:rsidRPr="00EE597F">
        <w:t>16/2012 “Ogres novada teritorijas izmantošanas un apbūves noteikumi” (turpmāk – SN16/2012) 7.</w:t>
      </w:r>
      <w:r w:rsidR="000E7964" w:rsidRPr="00EE597F">
        <w:t> </w:t>
      </w:r>
      <w:r w:rsidRPr="00EE597F">
        <w:t>pielikumu “Ogres novada teritorijas atļautās</w:t>
      </w:r>
      <w:r w:rsidRPr="00AC45CF">
        <w:t xml:space="preserve"> un plānotās izmantošanas kartes” </w:t>
      </w:r>
      <w:r>
        <w:t>Zemes vienībai</w:t>
      </w:r>
      <w:r w:rsidRPr="00AC45CF">
        <w:t xml:space="preserve"> noteikta funkcionālā zona </w:t>
      </w:r>
      <w:r w:rsidRPr="00AC45CF">
        <w:rPr>
          <w:i/>
          <w:iCs/>
        </w:rPr>
        <w:t>Lauksaimniecības teritorijas (L).</w:t>
      </w:r>
      <w:r w:rsidRPr="00AC45CF">
        <w:t xml:space="preserve"> SN16/2012 227.1.I apakšpunkts no</w:t>
      </w:r>
      <w:r w:rsidR="000E7964">
        <w:t>saka</w:t>
      </w:r>
      <w:r w:rsidRPr="00AC45CF">
        <w:t xml:space="preserve">, ka funkcionālajā zonā </w:t>
      </w:r>
      <w:r w:rsidRPr="00AC45CF">
        <w:rPr>
          <w:i/>
          <w:iCs/>
        </w:rPr>
        <w:t>Lauksaimniecības teritorijas (L)</w:t>
      </w:r>
      <w:r w:rsidRPr="00AC45CF">
        <w:t xml:space="preserve"> ārpus īpaši aizsargājamām dabas teritorijām atļauta derīgo izrakteņu ieguve, ja to </w:t>
      </w:r>
      <w:r w:rsidRPr="000E7964">
        <w:rPr>
          <w:u w:val="single"/>
        </w:rPr>
        <w:t>pamato ar detālplānojumu</w:t>
      </w:r>
      <w:r w:rsidRPr="00AC45CF">
        <w:t>.</w:t>
      </w:r>
    </w:p>
    <w:p w14:paraId="47F62CB9" w14:textId="081103CA" w:rsidR="000E7964" w:rsidRDefault="000E7964" w:rsidP="000E7964">
      <w:pPr>
        <w:spacing w:after="60" w:line="276" w:lineRule="auto"/>
        <w:ind w:firstLine="567"/>
        <w:jc w:val="both"/>
      </w:pPr>
      <w:r>
        <w:t>Prasības derīgo izrakteņu iegūšanai un karjeru veidošanai, darbībai un rekultivācijai ir noteiktas SN16/2012 149.–155.</w:t>
      </w:r>
      <w:r w:rsidR="00BC7632">
        <w:t xml:space="preserve"> </w:t>
      </w:r>
      <w:r>
        <w:t>punktā. Saskaņā ar SN16/2012 150.</w:t>
      </w:r>
      <w:r w:rsidR="00BC7632">
        <w:t xml:space="preserve"> </w:t>
      </w:r>
      <w:r>
        <w:t>punktu karjeru teritorijas derīgo izrakteņu iegūšanai atļauts veidot tikai ārpus Ogres pilsētas un ciemu teritorijām (150.1.</w:t>
      </w:r>
      <w:r w:rsidR="00BC7632">
        <w:t xml:space="preserve"> </w:t>
      </w:r>
      <w:r>
        <w:t>apakšpunkts), ārpus īpaši aizsargājamām dabas teritorijām un kultūras pieminekļu teritorijām (150.2.</w:t>
      </w:r>
      <w:r w:rsidR="00BC7632">
        <w:t xml:space="preserve"> </w:t>
      </w:r>
      <w:r>
        <w:t>apakšpunkts), ne tuvāk par 100 m no zemes vienības robežas vai zemes vienībā esošas, citam īpašniekam piederošas ēkas, izņemot, ja pieguļošās zemes vienības vai ēkas īpašnieks rakstiski piekrīt derīgo izrakteņu ieguvei mazākā attālumā no savas zemes vienības robežas vai ēkas 150.3.</w:t>
      </w:r>
      <w:r w:rsidR="00BC7632">
        <w:t xml:space="preserve"> </w:t>
      </w:r>
      <w:r>
        <w:t xml:space="preserve">apakšpunkts). </w:t>
      </w:r>
    </w:p>
    <w:p w14:paraId="32B97E5A" w14:textId="4925C418" w:rsidR="008B5EAC" w:rsidRDefault="008B5EAC" w:rsidP="00861291">
      <w:pPr>
        <w:spacing w:after="60" w:line="276" w:lineRule="auto"/>
        <w:ind w:firstLine="567"/>
        <w:jc w:val="both"/>
      </w:pPr>
      <w:r>
        <w:t>Saskaņā ar Dabas aizsardzības pārvaldes Dabas datu pārvaldības sistēmā OZOLS pieejamo informāciju Zemes vienībā nav reģistrēti īpaši aizsargājamie biotopi</w:t>
      </w:r>
      <w:r w:rsidR="002B1AE0">
        <w:t>,</w:t>
      </w:r>
      <w:r>
        <w:t xml:space="preserve"> sug</w:t>
      </w:r>
      <w:r w:rsidR="002B1AE0">
        <w:t xml:space="preserve">u dzīvotnes vai mikroliegumi. </w:t>
      </w:r>
    </w:p>
    <w:p w14:paraId="4C05D445" w14:textId="1A2E94CB" w:rsidR="00F26071" w:rsidRDefault="00F26071" w:rsidP="00861291">
      <w:pPr>
        <w:spacing w:after="60" w:line="276" w:lineRule="auto"/>
        <w:ind w:firstLine="567"/>
        <w:jc w:val="both"/>
      </w:pPr>
      <w:r>
        <w:t>2024. gada 18. aprīlī Valsts vides dienesta Atļauju pārvalde izsniedza smilts un mālsmilts atradnes “Dzilnas”</w:t>
      </w:r>
      <w:r w:rsidR="004E39CF">
        <w:rPr>
          <w:rStyle w:val="FootnoteReference"/>
        </w:rPr>
        <w:footnoteReference w:id="1"/>
      </w:r>
      <w:r>
        <w:t xml:space="preserve">, (turpmāk – Atradne) kas atrodas uz Zemes vienības, pasi. Minētā dokumenta 2. pielikumā ir noteikts Atradnes izvietojuma plāns. </w:t>
      </w:r>
    </w:p>
    <w:p w14:paraId="29C838A1" w14:textId="23208C98" w:rsidR="00772859" w:rsidRDefault="000E7964" w:rsidP="00772859">
      <w:pPr>
        <w:spacing w:after="60" w:line="276" w:lineRule="auto"/>
        <w:ind w:firstLine="567"/>
        <w:jc w:val="both"/>
      </w:pPr>
      <w:r>
        <w:t>Pa</w:t>
      </w:r>
      <w:r w:rsidR="00F26071">
        <w:t>švaldība konstatē, ka Atradnes tiešajā tuvumā atrodas šādas viensētas:</w:t>
      </w:r>
      <w:r w:rsidR="00772859">
        <w:t xml:space="preserve"> </w:t>
      </w:r>
      <w:r w:rsidR="00F26071">
        <w:t>“Dzilnas”</w:t>
      </w:r>
      <w:r w:rsidR="00772859">
        <w:t xml:space="preserve"> (kadastra apzīmējums </w:t>
      </w:r>
      <w:r w:rsidR="00F26071">
        <w:t>7468 008 0048 001</w:t>
      </w:r>
      <w:r w:rsidR="00772859">
        <w:t xml:space="preserve">) </w:t>
      </w:r>
      <w:r w:rsidR="00BC7632">
        <w:t>aptuveni</w:t>
      </w:r>
      <w:r w:rsidR="00772859">
        <w:t xml:space="preserve"> </w:t>
      </w:r>
      <w:r w:rsidR="00F26071">
        <w:t>180 m</w:t>
      </w:r>
      <w:r w:rsidR="00BC7632">
        <w:t xml:space="preserve"> attālumā</w:t>
      </w:r>
      <w:r w:rsidR="00772859">
        <w:t xml:space="preserve"> (viensēta ietilpst Nekustamā īpašuma sastāvā);  </w:t>
      </w:r>
      <w:r w:rsidR="00F26071">
        <w:t>“</w:t>
      </w:r>
      <w:proofErr w:type="spellStart"/>
      <w:r w:rsidR="00F26071">
        <w:t>Sakstas</w:t>
      </w:r>
      <w:proofErr w:type="spellEnd"/>
      <w:r w:rsidR="00F26071">
        <w:t xml:space="preserve">”, </w:t>
      </w:r>
      <w:r w:rsidR="00772859">
        <w:t xml:space="preserve">(kadastra apzīmējums </w:t>
      </w:r>
      <w:r w:rsidR="00F26071">
        <w:t>7468 008 0022 001</w:t>
      </w:r>
      <w:r w:rsidR="00772859">
        <w:t xml:space="preserve">) </w:t>
      </w:r>
      <w:r w:rsidR="00BC7632">
        <w:t xml:space="preserve">aptuveni </w:t>
      </w:r>
      <w:r w:rsidR="00F26071">
        <w:t>170 m</w:t>
      </w:r>
      <w:r w:rsidR="00BC7632">
        <w:t xml:space="preserve"> attālumā</w:t>
      </w:r>
      <w:r w:rsidR="00772859">
        <w:t xml:space="preserve">; </w:t>
      </w:r>
      <w:r w:rsidR="00F26071">
        <w:t>“</w:t>
      </w:r>
      <w:proofErr w:type="spellStart"/>
      <w:r w:rsidR="00F26071">
        <w:t>Vējkalni</w:t>
      </w:r>
      <w:proofErr w:type="spellEnd"/>
      <w:r w:rsidR="00F26071">
        <w:t>”,</w:t>
      </w:r>
      <w:r w:rsidR="00772859">
        <w:t xml:space="preserve"> (kadastra apzīmējums </w:t>
      </w:r>
      <w:r w:rsidR="00F26071">
        <w:t>7468 008 0078 001</w:t>
      </w:r>
      <w:r w:rsidR="00772859">
        <w:t xml:space="preserve">) </w:t>
      </w:r>
      <w:r w:rsidR="00BC7632">
        <w:t>aptuveni</w:t>
      </w:r>
      <w:r w:rsidR="00772859">
        <w:t xml:space="preserve"> </w:t>
      </w:r>
      <w:r w:rsidR="00F26071">
        <w:t>150 m</w:t>
      </w:r>
      <w:r w:rsidR="00BC7632">
        <w:t xml:space="preserve"> attālumā</w:t>
      </w:r>
      <w:r w:rsidR="00772859">
        <w:t xml:space="preserve">; “Kļavas”, (kadastra apzīmējums 7468 008 0191 001) </w:t>
      </w:r>
      <w:r w:rsidR="00BC7632">
        <w:t>aptuveni</w:t>
      </w:r>
      <w:r w:rsidR="00772859">
        <w:t xml:space="preserve"> 220 m</w:t>
      </w:r>
      <w:r w:rsidR="00BC7632">
        <w:t xml:space="preserve"> attālumā</w:t>
      </w:r>
      <w:r w:rsidR="00772859">
        <w:t xml:space="preserve">; “Zīles”, (kadastra apzīmējums 7468 008 0143 001) </w:t>
      </w:r>
      <w:r w:rsidR="00BC7632">
        <w:t>aptuveni</w:t>
      </w:r>
      <w:r w:rsidR="00772859">
        <w:t xml:space="preserve"> 300 m</w:t>
      </w:r>
      <w:r w:rsidR="00BC7632">
        <w:t xml:space="preserve"> attālumā</w:t>
      </w:r>
      <w:r w:rsidR="00772859">
        <w:t xml:space="preserve">. </w:t>
      </w:r>
    </w:p>
    <w:p w14:paraId="36895A96" w14:textId="122F7E6F" w:rsidR="00097AA7" w:rsidRDefault="00097AA7" w:rsidP="00772859">
      <w:pPr>
        <w:spacing w:after="60" w:line="276" w:lineRule="auto"/>
        <w:ind w:firstLine="567"/>
        <w:jc w:val="both"/>
      </w:pPr>
      <w:r>
        <w:t>Izvērtējot L</w:t>
      </w:r>
      <w:r w:rsidR="00330FBA">
        <w:t>atvijas Vides, ģeoloģijas un meteoroloģijas centra</w:t>
      </w:r>
      <w:r>
        <w:t xml:space="preserve"> Zemes dzīļu informācijas sistēmā</w:t>
      </w:r>
      <w:r>
        <w:rPr>
          <w:rStyle w:val="FootnoteReference"/>
        </w:rPr>
        <w:footnoteReference w:id="2"/>
      </w:r>
      <w:r>
        <w:t xml:space="preserve"> pieejamo informāciju, secināms, ka Atradne tiešajā tuvumā tiek veikta derīgo izrakteņu ieguve citās atradnēs. Aptuveni 40 m attālumā no Atradnes atrodas </w:t>
      </w:r>
      <w:r w:rsidR="005724AB">
        <w:t>smilts un mālsmilts</w:t>
      </w:r>
      <w:r>
        <w:t xml:space="preserve"> </w:t>
      </w:r>
      <w:r w:rsidRPr="000E7964">
        <w:t xml:space="preserve">atradne “Viesturi”, </w:t>
      </w:r>
      <w:r w:rsidR="005724AB" w:rsidRPr="000E7964">
        <w:t>bieži</w:t>
      </w:r>
      <w:r w:rsidR="005724AB">
        <w:t xml:space="preserve"> sastopamo derīgo izrakteņu ieguves atļaujas termiņš </w:t>
      </w:r>
      <w:r>
        <w:t xml:space="preserve">– 2040. gada 31. decembris. Aptuveni 180 m attālumā no Atradnes atrodas </w:t>
      </w:r>
      <w:r w:rsidR="005724AB">
        <w:t>smilts</w:t>
      </w:r>
      <w:r>
        <w:t xml:space="preserve"> atradne “Rijnieki”, </w:t>
      </w:r>
      <w:r w:rsidR="005724AB">
        <w:t>bieži sastopamo derīgo izrakteņu ieguves atļaujas</w:t>
      </w:r>
      <w:r>
        <w:t xml:space="preserve"> termiņš – 2042. gada 9. jūlijs. </w:t>
      </w:r>
    </w:p>
    <w:p w14:paraId="5F6C259D" w14:textId="68CBEBF8" w:rsidR="000E7964" w:rsidRDefault="000E7964" w:rsidP="000E7964">
      <w:pPr>
        <w:spacing w:after="20" w:line="276" w:lineRule="auto"/>
        <w:ind w:firstLine="567"/>
        <w:jc w:val="both"/>
      </w:pPr>
      <w:r w:rsidRPr="007A4AB1">
        <w:t>Ministru kabineta 2013.</w:t>
      </w:r>
      <w:r>
        <w:t xml:space="preserve"> </w:t>
      </w:r>
      <w:r w:rsidRPr="007A4AB1">
        <w:t>gada 30.</w:t>
      </w:r>
      <w:r>
        <w:t xml:space="preserve"> </w:t>
      </w:r>
      <w:r w:rsidRPr="007A4AB1">
        <w:t>aprīļa noteikumu Nr.</w:t>
      </w:r>
      <w:r>
        <w:t xml:space="preserve"> </w:t>
      </w:r>
      <w:r w:rsidRPr="007A4AB1">
        <w:t>240 “Vispārīgie teritorijas plānošanas, iz</w:t>
      </w:r>
      <w:r>
        <w:t xml:space="preserve">mantošanas un apbūves noteikumi” (turpmāk – MK noteikumi Nr. 240) 144. punkts nosaka, ka, plānojot derīgo izrakteņu ieguves vietas, detālplānojumā papildus paredz </w:t>
      </w:r>
    </w:p>
    <w:p w14:paraId="52EBEE45" w14:textId="3FBA2477" w:rsidR="000E7964" w:rsidRDefault="000E7964" w:rsidP="000E7964">
      <w:pPr>
        <w:spacing w:after="20" w:line="276" w:lineRule="auto"/>
        <w:ind w:left="284"/>
        <w:jc w:val="both"/>
      </w:pPr>
      <w:r>
        <w:t>[1] pasākumus šādu objektu ietekmes mazināšanai uz apkārtējām teritorijām (144.1. apakšpunkts);</w:t>
      </w:r>
    </w:p>
    <w:p w14:paraId="4020BF08" w14:textId="6315B1AF" w:rsidR="000E7964" w:rsidRDefault="000E7964" w:rsidP="000E7964">
      <w:pPr>
        <w:spacing w:after="20" w:line="276" w:lineRule="auto"/>
        <w:ind w:left="284"/>
        <w:jc w:val="both"/>
      </w:pPr>
      <w:r>
        <w:t>[2] transporta plūsmas organizāciju, lai netiktu ietekmētas dzīvojamās un publiskās apbūves teritorijas (144.2. apakšpunkts);</w:t>
      </w:r>
    </w:p>
    <w:p w14:paraId="434D7A4F" w14:textId="524E7937" w:rsidR="000E7964" w:rsidRPr="009D4675" w:rsidRDefault="000E7964" w:rsidP="000E7964">
      <w:pPr>
        <w:spacing w:after="60" w:line="276" w:lineRule="auto"/>
        <w:ind w:left="284"/>
        <w:jc w:val="both"/>
      </w:pPr>
      <w:r>
        <w:t>[3] drošības attālumus līdz dzīvojamai un publiskai apbūvei, nosakot tajos teritorijas izmantošanas aprobežojumus (144.3. apakšpunkts</w:t>
      </w:r>
      <w:r w:rsidRPr="009D4675">
        <w:t xml:space="preserve">). </w:t>
      </w:r>
    </w:p>
    <w:p w14:paraId="0E5A11D4" w14:textId="68AD6BE8" w:rsidR="000E7964" w:rsidRDefault="000E7964" w:rsidP="000E7964">
      <w:pPr>
        <w:spacing w:after="60" w:line="276" w:lineRule="auto"/>
        <w:ind w:firstLine="567"/>
        <w:jc w:val="both"/>
      </w:pPr>
      <w:r w:rsidRPr="009D4675">
        <w:t>Saskaņā ar MK noteikumu Nr.</w:t>
      </w:r>
      <w:r>
        <w:t xml:space="preserve"> </w:t>
      </w:r>
      <w:r w:rsidRPr="009D4675">
        <w:t>240 146.</w:t>
      </w:r>
      <w:r>
        <w:t xml:space="preserve"> </w:t>
      </w:r>
      <w:r w:rsidRPr="009D4675">
        <w:t>punktu esošajās dzīvojamās apbūves teritorijās piesārņojumu radošu objektu tuvumā pašvaldība var noteikt pasākumus trokšņa mazināšanai, piesārņojuma un citu negatīvu faktoru novēršanai tādā kārtībā un apjomā,</w:t>
      </w:r>
      <w:r w:rsidRPr="005C36B8">
        <w:t xml:space="preserve"> kā to nosaka normatīvie akti vides aizsardzības jomā</w:t>
      </w:r>
      <w:r>
        <w:t xml:space="preserve">. </w:t>
      </w:r>
    </w:p>
    <w:p w14:paraId="306A9F6C" w14:textId="7F861670" w:rsidR="000E7964" w:rsidRDefault="000E7964" w:rsidP="000E7964">
      <w:pPr>
        <w:spacing w:after="60" w:line="276" w:lineRule="auto"/>
        <w:ind w:firstLine="567"/>
        <w:jc w:val="both"/>
      </w:pPr>
      <w:r>
        <w:t>Atbilstoši Teritorijas attīstības plānošanas likuma (turpmāk – Likums) 28. 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 panta trešā daļa nosaka, ka detālplānojumu izstrādā pirms jaunas būvniecības uzsākšanas vai zemes vienību sadalīšanas, ja tas rada nepieciešamību pēc kompleksiem risinājumiem un ja normatīvajos aktos nav noteikts citādi. Saskaņā ar </w:t>
      </w:r>
      <w:r w:rsidRPr="00955CBB">
        <w:t xml:space="preserve">Ministru kabineta </w:t>
      </w:r>
      <w:r w:rsidRPr="00354E5C">
        <w:t>201</w:t>
      </w:r>
      <w:r>
        <w:t>4</w:t>
      </w:r>
      <w:r w:rsidRPr="00354E5C">
        <w:t>.</w:t>
      </w:r>
      <w:r>
        <w:t> gada 14. oktobra</w:t>
      </w:r>
      <w:r w:rsidRPr="00354E5C">
        <w:t xml:space="preserve"> noteikumu Nr.</w:t>
      </w:r>
      <w:r>
        <w:t> 628</w:t>
      </w:r>
      <w:r w:rsidRPr="00955CBB">
        <w:t xml:space="preserve"> „</w:t>
      </w:r>
      <w:r>
        <w:rPr>
          <w:rFonts w:cs="Arial"/>
        </w:rPr>
        <w:t>Noteikumi par</w:t>
      </w:r>
      <w:r w:rsidRPr="0073150E">
        <w:rPr>
          <w:rFonts w:cs="Arial"/>
        </w:rPr>
        <w:t xml:space="preserve"> pašvaldīb</w:t>
      </w:r>
      <w:r>
        <w:rPr>
          <w:rFonts w:cs="Arial"/>
        </w:rPr>
        <w:t>u</w:t>
      </w:r>
      <w:r w:rsidRPr="0073150E">
        <w:rPr>
          <w:rFonts w:cs="Arial"/>
        </w:rPr>
        <w:t xml:space="preserve"> teritorijas </w:t>
      </w:r>
      <w:r>
        <w:rPr>
          <w:rFonts w:cs="Arial"/>
        </w:rPr>
        <w:t xml:space="preserve">attīstības </w:t>
      </w:r>
      <w:r w:rsidRPr="0073150E">
        <w:rPr>
          <w:rFonts w:cs="Arial"/>
        </w:rPr>
        <w:t xml:space="preserve">plānošanas </w:t>
      </w:r>
      <w:r>
        <w:rPr>
          <w:rFonts w:cs="Arial"/>
        </w:rPr>
        <w:t>dokumentiem</w:t>
      </w:r>
      <w:r w:rsidRPr="00955CBB">
        <w:t>”</w:t>
      </w:r>
      <w:r>
        <w:t xml:space="preserve"> (turpmāk – MK noteikumi Nr. 628) 38. punktu detālplānojumu izstrādā, lai īstenotu konkrētu attīstības priekšlikumu vai plānošanas uzdevumu, detalizējot teritorijas plānojumā noteiktās prasības. MK noteikumu Nr. 628 39.1. apakšpunkts nosaka, ka detālplānojumu izstrādā teritorijas plānojumā noteiktajos gadījumos. </w:t>
      </w:r>
    </w:p>
    <w:p w14:paraId="0572CEED" w14:textId="6BCF6AB9" w:rsidR="000E7964" w:rsidRDefault="000E7964" w:rsidP="000E7964">
      <w:pPr>
        <w:spacing w:line="276" w:lineRule="auto"/>
        <w:ind w:firstLine="720"/>
        <w:jc w:val="both"/>
      </w:pPr>
      <w:r>
        <w:t xml:space="preserve">Ņemot vērā minēto, kā arī </w:t>
      </w:r>
      <w:r w:rsidRPr="00AB469A">
        <w:t>pamatojoties uz Teritorijas attīstības plānošanas likuma 28.</w:t>
      </w:r>
      <w:r>
        <w:t> </w:t>
      </w:r>
      <w:r w:rsidRPr="00AB469A">
        <w:t>pantu</w:t>
      </w:r>
      <w:r>
        <w:t xml:space="preserve">, Pašvaldību likuma 10. panta pirmās daļas 21. punktu, Ministru kabineta 2014. gada 14. oktobra noteikumu Nr. 628 “Noteikumi par pašvaldību teritorijas attīstības plānošanas dokumentiem” 96., 98. un 105. punktu, </w:t>
      </w:r>
    </w:p>
    <w:p w14:paraId="1A1DD1A9" w14:textId="77777777" w:rsidR="00ED1589" w:rsidRDefault="00ED1589" w:rsidP="00AE2B20">
      <w:pPr>
        <w:spacing w:line="276" w:lineRule="auto"/>
        <w:ind w:firstLine="720"/>
        <w:jc w:val="both"/>
      </w:pPr>
    </w:p>
    <w:p w14:paraId="1E5AAB22" w14:textId="77777777" w:rsidR="00E077FF" w:rsidRPr="00E077FF" w:rsidRDefault="00E077FF" w:rsidP="00E077FF">
      <w:pPr>
        <w:jc w:val="center"/>
        <w:rPr>
          <w:b/>
          <w:iCs/>
          <w:color w:val="000000"/>
          <w:lang w:eastAsia="en-US"/>
        </w:rPr>
      </w:pPr>
      <w:r w:rsidRPr="00E077FF">
        <w:rPr>
          <w:b/>
          <w:iCs/>
          <w:color w:val="000000"/>
          <w:lang w:eastAsia="en-US"/>
        </w:rPr>
        <w:t xml:space="preserve">balsojot: </w:t>
      </w:r>
      <w:r w:rsidRPr="00E077FF">
        <w:rPr>
          <w:b/>
          <w:iCs/>
          <w:noProof/>
          <w:color w:val="000000"/>
          <w:lang w:eastAsia="en-US"/>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E077FF">
        <w:rPr>
          <w:b/>
          <w:iCs/>
          <w:color w:val="000000"/>
          <w:lang w:eastAsia="en-US"/>
        </w:rPr>
        <w:t xml:space="preserve"> </w:t>
      </w:r>
    </w:p>
    <w:p w14:paraId="1763F6F8" w14:textId="77777777" w:rsidR="00E077FF" w:rsidRPr="00E077FF" w:rsidRDefault="00E077FF" w:rsidP="00E077FF">
      <w:pPr>
        <w:jc w:val="center"/>
        <w:rPr>
          <w:b/>
          <w:iCs/>
          <w:color w:val="000000"/>
          <w:lang w:eastAsia="en-US"/>
        </w:rPr>
      </w:pPr>
      <w:r w:rsidRPr="00E077FF">
        <w:rPr>
          <w:iCs/>
          <w:color w:val="000000"/>
          <w:lang w:eastAsia="en-US"/>
        </w:rPr>
        <w:t>Ogres novada pašvaldības dome</w:t>
      </w:r>
      <w:r w:rsidRPr="00E077FF">
        <w:rPr>
          <w:b/>
          <w:iCs/>
          <w:color w:val="000000"/>
          <w:lang w:eastAsia="en-US"/>
        </w:rPr>
        <w:t xml:space="preserve"> NOLEMJ:</w:t>
      </w:r>
    </w:p>
    <w:p w14:paraId="332B2BA6" w14:textId="77777777" w:rsidR="004D5F65" w:rsidRPr="00AE2B20" w:rsidRDefault="004D5F65" w:rsidP="00AE2B20">
      <w:pPr>
        <w:ind w:firstLine="375"/>
        <w:jc w:val="center"/>
        <w:rPr>
          <w:b/>
          <w:sz w:val="22"/>
          <w:szCs w:val="22"/>
          <w:lang w:val="en-US"/>
        </w:rPr>
      </w:pPr>
    </w:p>
    <w:p w14:paraId="66A0007A" w14:textId="2AAEC6E8" w:rsidR="00E54D27" w:rsidRDefault="00E54D27" w:rsidP="00B75389">
      <w:pPr>
        <w:numPr>
          <w:ilvl w:val="0"/>
          <w:numId w:val="2"/>
        </w:numPr>
        <w:spacing w:after="80" w:line="276" w:lineRule="auto"/>
        <w:ind w:left="426"/>
        <w:jc w:val="both"/>
      </w:pPr>
      <w:bookmarkStart w:id="3" w:name="_Hlk131151988"/>
      <w:r>
        <w:t xml:space="preserve">Atļaut uzsākt detālplānojuma </w:t>
      </w:r>
      <w:r w:rsidR="00AA0559">
        <w:t xml:space="preserve">izstrādi </w:t>
      </w:r>
      <w:bookmarkStart w:id="4" w:name="_Hlk145344325"/>
      <w:r w:rsidR="00AA0559" w:rsidRPr="00AA0559">
        <w:t xml:space="preserve">nekustamā īpašuma </w:t>
      </w:r>
      <w:bookmarkEnd w:id="4"/>
      <w:r w:rsidR="00CF36B4" w:rsidRPr="00CF36B4">
        <w:t xml:space="preserve">„Dzilnas”, Madlienas pag., Ogres nov., kadastra numurs 74680080048, sastāvā esošajai zemes vienībai ar kadastra apzīmējumu 74680080048 </w:t>
      </w:r>
      <w:r>
        <w:t>(turpmāk – Detālplānojums)</w:t>
      </w:r>
      <w:r w:rsidR="00AA0559">
        <w:t>.</w:t>
      </w:r>
      <w:r>
        <w:t xml:space="preserve"> </w:t>
      </w:r>
    </w:p>
    <w:p w14:paraId="233F4647" w14:textId="5576FEAA" w:rsidR="00E54D27" w:rsidRPr="00C7198D" w:rsidRDefault="00E54D27" w:rsidP="00B75389">
      <w:pPr>
        <w:numPr>
          <w:ilvl w:val="0"/>
          <w:numId w:val="2"/>
        </w:numPr>
        <w:spacing w:after="80" w:line="276" w:lineRule="auto"/>
        <w:ind w:left="426"/>
        <w:jc w:val="both"/>
      </w:pPr>
      <w:r>
        <w:t>Apstiprināt Detālplānojuma izstrādes darba uzdevumu saskaņā ar 1.</w:t>
      </w:r>
      <w:r w:rsidR="00C10014">
        <w:t> </w:t>
      </w:r>
      <w:r>
        <w:t xml:space="preserve">pielikumu. </w:t>
      </w:r>
    </w:p>
    <w:p w14:paraId="4D77D23B" w14:textId="77777777" w:rsidR="00E54D27" w:rsidRDefault="00E54D27" w:rsidP="00B75389">
      <w:pPr>
        <w:numPr>
          <w:ilvl w:val="0"/>
          <w:numId w:val="2"/>
        </w:numPr>
        <w:spacing w:after="80" w:line="276" w:lineRule="auto"/>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t>telpisko</w:t>
      </w:r>
      <w:r w:rsidRPr="00742BE6">
        <w:t xml:space="preserve"> plānotāju. </w:t>
      </w:r>
    </w:p>
    <w:p w14:paraId="08C9035E" w14:textId="01DCC425" w:rsidR="00E54D27" w:rsidRDefault="00E54D27" w:rsidP="00B75389">
      <w:pPr>
        <w:numPr>
          <w:ilvl w:val="0"/>
          <w:numId w:val="2"/>
        </w:numPr>
        <w:spacing w:after="80" w:line="276" w:lineRule="auto"/>
        <w:ind w:left="426"/>
        <w:jc w:val="both"/>
      </w:pPr>
      <w:r>
        <w:t xml:space="preserve">Noslēgt starp Pašvaldību un </w:t>
      </w:r>
      <w:r w:rsidRPr="00CF36B4">
        <w:t>Detālplānojuma izstrādes ierosinātāju</w:t>
      </w:r>
      <w:r w:rsidR="00CF36B4" w:rsidRPr="00CF36B4">
        <w:t xml:space="preserve"> fizisko</w:t>
      </w:r>
      <w:r w:rsidR="00CF36B4">
        <w:t xml:space="preserve"> personu</w:t>
      </w:r>
      <w:r>
        <w:t xml:space="preserve"> </w:t>
      </w:r>
      <w:r w:rsidR="00CF36B4">
        <w:t xml:space="preserve">I.M. </w:t>
      </w:r>
      <w:r>
        <w:t>līgumu par Detālplānojuma izstrādi un finansēšanu saskaņā ar 2.</w:t>
      </w:r>
      <w:r w:rsidR="00CF36B4">
        <w:t xml:space="preserve"> </w:t>
      </w:r>
      <w:r>
        <w:t xml:space="preserve">pielikumu </w:t>
      </w:r>
      <w:r w:rsidR="00CF36B4">
        <w:t>astoņu</w:t>
      </w:r>
      <w:r>
        <w:t xml:space="preserve"> nedēļu laikā pēc lēmuma stāšanās spēkā.</w:t>
      </w:r>
    </w:p>
    <w:p w14:paraId="2292F023" w14:textId="1723DA36" w:rsidR="00E54D27" w:rsidRDefault="00E54D27" w:rsidP="00B75389">
      <w:pPr>
        <w:numPr>
          <w:ilvl w:val="0"/>
          <w:numId w:val="2"/>
        </w:numPr>
        <w:spacing w:after="80" w:line="276" w:lineRule="auto"/>
        <w:ind w:left="426"/>
        <w:jc w:val="both"/>
      </w:pPr>
      <w:r>
        <w:t xml:space="preserve">Noteikt, ka šis lēmums zaudē spēku, ja netiek izpildīts </w:t>
      </w:r>
      <w:r w:rsidR="001821BC">
        <w:t xml:space="preserve">tā </w:t>
      </w:r>
      <w:r>
        <w:t>4.</w:t>
      </w:r>
      <w:r w:rsidR="00C10014">
        <w:t> </w:t>
      </w:r>
      <w:r>
        <w:t xml:space="preserve">punkts. </w:t>
      </w:r>
    </w:p>
    <w:p w14:paraId="7A133106" w14:textId="0D9E56C2" w:rsidR="00E54D27" w:rsidRPr="00D22179" w:rsidRDefault="00E54D27" w:rsidP="00B75389">
      <w:pPr>
        <w:numPr>
          <w:ilvl w:val="0"/>
          <w:numId w:val="2"/>
        </w:numPr>
        <w:tabs>
          <w:tab w:val="left" w:pos="426"/>
          <w:tab w:val="center" w:pos="4082"/>
        </w:tabs>
        <w:spacing w:after="20"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1DD1BE01" w:rsidR="00E54D27" w:rsidRDefault="00E54D27" w:rsidP="00B75389">
      <w:pPr>
        <w:tabs>
          <w:tab w:val="left" w:pos="567"/>
          <w:tab w:val="center" w:pos="4082"/>
        </w:tabs>
        <w:spacing w:after="20"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w:t>
      </w:r>
      <w:r w:rsidR="00697A28">
        <w:t xml:space="preserve"> (TAPIS)</w:t>
      </w:r>
      <w:r>
        <w:t>, kā arī publicēšanu</w:t>
      </w:r>
      <w:r w:rsidRPr="00B95979">
        <w:t xml:space="preserve"> </w:t>
      </w:r>
      <w:r>
        <w:t>P</w:t>
      </w:r>
      <w:r w:rsidRPr="00B95979">
        <w:t xml:space="preserve">ašvaldības </w:t>
      </w:r>
      <w:r>
        <w:t>interneta vietnē;</w:t>
      </w:r>
    </w:p>
    <w:p w14:paraId="111D78B3" w14:textId="453ED951" w:rsidR="00E54D27" w:rsidRDefault="00E54D27" w:rsidP="00B75389">
      <w:pPr>
        <w:tabs>
          <w:tab w:val="left" w:pos="567"/>
          <w:tab w:val="center" w:pos="4082"/>
        </w:tabs>
        <w:spacing w:after="20" w:line="276" w:lineRule="auto"/>
        <w:ind w:left="567" w:right="-1"/>
        <w:jc w:val="both"/>
      </w:pPr>
      <w:r w:rsidRPr="008A0108">
        <w:rPr>
          <w:b/>
          <w:bCs/>
        </w:rPr>
        <w:t>6.2.</w:t>
      </w:r>
      <w:r>
        <w:t xml:space="preserve"> nodrošināt </w:t>
      </w:r>
      <w:r w:rsidR="001821BC">
        <w:t xml:space="preserve">šā lēmuma </w:t>
      </w:r>
      <w:r>
        <w:t>6.1.</w:t>
      </w:r>
      <w:r w:rsidR="00C10014">
        <w:t> </w:t>
      </w:r>
      <w:r w:rsidR="00CE3EAF">
        <w:t>apakš</w:t>
      </w:r>
      <w:r>
        <w:t xml:space="preserve">punktā minētā paziņojuma publicēšanu </w:t>
      </w:r>
      <w:r w:rsidR="00083478">
        <w:t>P</w:t>
      </w:r>
      <w:r>
        <w:t>ašvaldības informatīvā izdevuma tuvākajā numurā</w:t>
      </w:r>
      <w:r w:rsidR="00697A28">
        <w:t>;</w:t>
      </w:r>
    </w:p>
    <w:p w14:paraId="32AC36B5" w14:textId="2BD92A77" w:rsidR="00E54D27" w:rsidRDefault="00E54D27" w:rsidP="00B75389">
      <w:pPr>
        <w:tabs>
          <w:tab w:val="left" w:pos="567"/>
          <w:tab w:val="center" w:pos="4082"/>
        </w:tabs>
        <w:spacing w:after="80" w:line="276" w:lineRule="auto"/>
        <w:ind w:left="567" w:right="-1"/>
        <w:jc w:val="both"/>
      </w:pPr>
      <w:r w:rsidRPr="008A0108">
        <w:rPr>
          <w:b/>
          <w:bCs/>
        </w:rPr>
        <w:t>6.3.</w:t>
      </w:r>
      <w:r w:rsidR="008A0108">
        <w:t xml:space="preserve"> </w:t>
      </w:r>
      <w:r>
        <w:t>četru nedēļu laikā pēc lēmuma spēkā stāšanās nodrošināt Ministru kabineta 2014.</w:t>
      </w:r>
      <w:r w:rsidR="00C10014">
        <w:t> </w:t>
      </w:r>
      <w:r>
        <w:t>gada 14.</w:t>
      </w:r>
      <w:r w:rsidR="00C10014">
        <w:t xml:space="preserve"> </w:t>
      </w:r>
      <w:r>
        <w:t>oktobra noteikumu Nr.</w:t>
      </w:r>
      <w:r w:rsidR="00C10014">
        <w:t xml:space="preserve"> </w:t>
      </w:r>
      <w:r>
        <w:t>628 “</w:t>
      </w:r>
      <w:r w:rsidRPr="007072C0">
        <w:t>Noteikumi par pašvaldību teritorijas attīstības plānošanas dokumentiem</w:t>
      </w:r>
      <w:r>
        <w:t>” 105.</w:t>
      </w:r>
      <w:r w:rsidR="00C10014">
        <w:t xml:space="preserve"> </w:t>
      </w:r>
      <w:r>
        <w:t xml:space="preserve">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2B2559">
      <w:pPr>
        <w:numPr>
          <w:ilvl w:val="0"/>
          <w:numId w:val="2"/>
        </w:numPr>
        <w:tabs>
          <w:tab w:val="left" w:pos="426"/>
          <w:tab w:val="center" w:pos="4082"/>
        </w:tabs>
        <w:ind w:left="425" w:hanging="425"/>
        <w:jc w:val="both"/>
      </w:pPr>
      <w:r w:rsidRPr="005B4F80">
        <w:t xml:space="preserve">Kontroli </w:t>
      </w:r>
      <w:r w:rsidRPr="00B95979">
        <w:t xml:space="preserve">par lēmuma izpildi uzdot </w:t>
      </w:r>
      <w:r>
        <w:t>P</w:t>
      </w:r>
      <w:r w:rsidRPr="00B95979">
        <w:t>ašvaldības</w:t>
      </w:r>
      <w:r>
        <w:t xml:space="preserve"> izpilddirektoram.</w:t>
      </w:r>
      <w:bookmarkStart w:id="5" w:name="_GoBack"/>
      <w:bookmarkEnd w:id="5"/>
    </w:p>
    <w:bookmarkEnd w:id="3"/>
    <w:p w14:paraId="24FACD9D" w14:textId="77777777" w:rsidR="00E54D27" w:rsidRDefault="00E54D27" w:rsidP="00AE2B20">
      <w:pPr>
        <w:jc w:val="both"/>
      </w:pPr>
    </w:p>
    <w:p w14:paraId="0FBDC186" w14:textId="77777777" w:rsidR="002B2559" w:rsidRDefault="002B2559" w:rsidP="00AE2B20">
      <w:pPr>
        <w:jc w:val="both"/>
      </w:pPr>
    </w:p>
    <w:p w14:paraId="44AED933" w14:textId="77777777" w:rsidR="00E54D27" w:rsidRPr="00B512D4" w:rsidRDefault="00E54D27" w:rsidP="00AE2B20">
      <w:pPr>
        <w:pStyle w:val="BodyTextIndent2"/>
        <w:ind w:left="215"/>
        <w:jc w:val="right"/>
      </w:pPr>
      <w:r w:rsidRPr="00B512D4">
        <w:t>(Sēdes vadītāja,</w:t>
      </w:r>
    </w:p>
    <w:p w14:paraId="26C0506F" w14:textId="64DE0133" w:rsidR="00920128" w:rsidRPr="004B60AE" w:rsidRDefault="00E54D27" w:rsidP="00AE2B20">
      <w:pPr>
        <w:pStyle w:val="BodyTextIndent2"/>
        <w:ind w:left="215"/>
        <w:jc w:val="right"/>
        <w:rPr>
          <w:i/>
        </w:rPr>
      </w:pPr>
      <w:r w:rsidRPr="00665BCF">
        <w:t>domes priekšsēdētāja</w:t>
      </w:r>
      <w:r>
        <w:t xml:space="preserve"> </w:t>
      </w:r>
      <w:proofErr w:type="spellStart"/>
      <w:r>
        <w:t>E.Helmaņa</w:t>
      </w:r>
      <w:proofErr w:type="spellEnd"/>
      <w:r w:rsidRPr="00665BCF">
        <w:t xml:space="preserve"> paraksts)</w:t>
      </w:r>
    </w:p>
    <w:sectPr w:rsidR="00920128" w:rsidRPr="004B60AE" w:rsidSect="00E077FF">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3FF6" w14:textId="77777777" w:rsidR="00D7738B" w:rsidRDefault="00D7738B">
      <w:r>
        <w:separator/>
      </w:r>
    </w:p>
  </w:endnote>
  <w:endnote w:type="continuationSeparator" w:id="0">
    <w:p w14:paraId="6714ECE8" w14:textId="77777777" w:rsidR="00D7738B" w:rsidRDefault="00D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E077FF">
    <w:pPr>
      <w:pStyle w:val="Footer"/>
      <w:jc w:val="center"/>
    </w:pPr>
  </w:p>
  <w:p w14:paraId="2EA72B4D" w14:textId="77777777" w:rsidR="009B0E84" w:rsidRDefault="00E07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6D7F2" w14:textId="77777777" w:rsidR="00D7738B" w:rsidRDefault="00D7738B">
      <w:r>
        <w:separator/>
      </w:r>
    </w:p>
  </w:footnote>
  <w:footnote w:type="continuationSeparator" w:id="0">
    <w:p w14:paraId="6E315839" w14:textId="77777777" w:rsidR="00D7738B" w:rsidRDefault="00D7738B">
      <w:r>
        <w:continuationSeparator/>
      </w:r>
    </w:p>
  </w:footnote>
  <w:footnote w:id="1">
    <w:p w14:paraId="080EDCA2" w14:textId="309AE2CD" w:rsidR="004E39CF" w:rsidRDefault="004E39CF">
      <w:pPr>
        <w:pStyle w:val="FootnoteText"/>
      </w:pPr>
      <w:r>
        <w:rPr>
          <w:rStyle w:val="FootnoteReference"/>
        </w:rPr>
        <w:footnoteRef/>
      </w:r>
      <w:r>
        <w:t xml:space="preserve"> </w:t>
      </w:r>
      <w:hyperlink r:id="rId1" w:history="1">
        <w:r w:rsidRPr="007A7504">
          <w:rPr>
            <w:rStyle w:val="Hyperlink"/>
          </w:rPr>
          <w:t>https://izraktenis.lvgmc.lv/atradnes/B17662/pase/1881446</w:t>
        </w:r>
      </w:hyperlink>
      <w:r>
        <w:t xml:space="preserve"> </w:t>
      </w:r>
    </w:p>
  </w:footnote>
  <w:footnote w:id="2">
    <w:p w14:paraId="49F24338" w14:textId="67650408" w:rsidR="00097AA7" w:rsidRDefault="00097AA7">
      <w:pPr>
        <w:pStyle w:val="FootnoteText"/>
      </w:pPr>
      <w:r>
        <w:rPr>
          <w:rStyle w:val="FootnoteReference"/>
        </w:rPr>
        <w:footnoteRef/>
      </w:r>
      <w:r>
        <w:t xml:space="preserve"> </w:t>
      </w:r>
      <w:hyperlink r:id="rId2" w:history="1">
        <w:r w:rsidRPr="00D64198">
          <w:rPr>
            <w:rStyle w:val="Hyperlink"/>
          </w:rPr>
          <w:t>https://videscentrs.lvgmc.lv/iebuvets/zemes-dzilu-informacijas-sistema</w:t>
        </w:r>
      </w:hyperlink>
      <w:r>
        <w:rPr>
          <w:rStyle w:val="Hyperlink"/>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16A8"/>
    <w:rsid w:val="000227D1"/>
    <w:rsid w:val="00023ADC"/>
    <w:rsid w:val="000246C7"/>
    <w:rsid w:val="00031D1A"/>
    <w:rsid w:val="000359B0"/>
    <w:rsid w:val="00042377"/>
    <w:rsid w:val="00042C33"/>
    <w:rsid w:val="0007001A"/>
    <w:rsid w:val="00072111"/>
    <w:rsid w:val="00081D0D"/>
    <w:rsid w:val="00083478"/>
    <w:rsid w:val="00084C35"/>
    <w:rsid w:val="00092BE9"/>
    <w:rsid w:val="00093A13"/>
    <w:rsid w:val="00096632"/>
    <w:rsid w:val="00097AA7"/>
    <w:rsid w:val="000D0192"/>
    <w:rsid w:val="000D078D"/>
    <w:rsid w:val="000E7964"/>
    <w:rsid w:val="000F1706"/>
    <w:rsid w:val="001077AD"/>
    <w:rsid w:val="001110B4"/>
    <w:rsid w:val="00115067"/>
    <w:rsid w:val="00126858"/>
    <w:rsid w:val="001325C5"/>
    <w:rsid w:val="00160B1C"/>
    <w:rsid w:val="00173F86"/>
    <w:rsid w:val="001821BC"/>
    <w:rsid w:val="00195EE8"/>
    <w:rsid w:val="00197069"/>
    <w:rsid w:val="001A12EA"/>
    <w:rsid w:val="001A4A2A"/>
    <w:rsid w:val="001B1DFC"/>
    <w:rsid w:val="001B3A87"/>
    <w:rsid w:val="001D1CB3"/>
    <w:rsid w:val="001F2B50"/>
    <w:rsid w:val="00204E71"/>
    <w:rsid w:val="00206F42"/>
    <w:rsid w:val="00227CA7"/>
    <w:rsid w:val="00252A4E"/>
    <w:rsid w:val="00253D26"/>
    <w:rsid w:val="00260B0F"/>
    <w:rsid w:val="002632A2"/>
    <w:rsid w:val="00271BF4"/>
    <w:rsid w:val="00276239"/>
    <w:rsid w:val="00282C40"/>
    <w:rsid w:val="00297763"/>
    <w:rsid w:val="002A7809"/>
    <w:rsid w:val="002B1AE0"/>
    <w:rsid w:val="002B2559"/>
    <w:rsid w:val="002B617D"/>
    <w:rsid w:val="002C79AF"/>
    <w:rsid w:val="002E0E6D"/>
    <w:rsid w:val="002E3151"/>
    <w:rsid w:val="00304EF7"/>
    <w:rsid w:val="003233E9"/>
    <w:rsid w:val="0032752F"/>
    <w:rsid w:val="00330FBA"/>
    <w:rsid w:val="0033348A"/>
    <w:rsid w:val="00347D1C"/>
    <w:rsid w:val="003517C3"/>
    <w:rsid w:val="00353FEE"/>
    <w:rsid w:val="003610AC"/>
    <w:rsid w:val="00361EB8"/>
    <w:rsid w:val="00366590"/>
    <w:rsid w:val="00375F90"/>
    <w:rsid w:val="00376BFE"/>
    <w:rsid w:val="00394039"/>
    <w:rsid w:val="0039640F"/>
    <w:rsid w:val="003A3CA7"/>
    <w:rsid w:val="003B6B5C"/>
    <w:rsid w:val="003C4B1A"/>
    <w:rsid w:val="003D0464"/>
    <w:rsid w:val="003D0D20"/>
    <w:rsid w:val="004269A2"/>
    <w:rsid w:val="00427F93"/>
    <w:rsid w:val="00436CAA"/>
    <w:rsid w:val="00476230"/>
    <w:rsid w:val="00481E85"/>
    <w:rsid w:val="00481FE2"/>
    <w:rsid w:val="00490B6E"/>
    <w:rsid w:val="00496B0B"/>
    <w:rsid w:val="004A337A"/>
    <w:rsid w:val="004A7E31"/>
    <w:rsid w:val="004B60AE"/>
    <w:rsid w:val="004D492F"/>
    <w:rsid w:val="004D5F65"/>
    <w:rsid w:val="004E1476"/>
    <w:rsid w:val="004E39CF"/>
    <w:rsid w:val="004F6CD5"/>
    <w:rsid w:val="004F7217"/>
    <w:rsid w:val="00504F63"/>
    <w:rsid w:val="00540419"/>
    <w:rsid w:val="0056376D"/>
    <w:rsid w:val="00567036"/>
    <w:rsid w:val="005724AB"/>
    <w:rsid w:val="00575050"/>
    <w:rsid w:val="00575ED8"/>
    <w:rsid w:val="00597378"/>
    <w:rsid w:val="005B4DB8"/>
    <w:rsid w:val="005C36B8"/>
    <w:rsid w:val="005C4632"/>
    <w:rsid w:val="005E0930"/>
    <w:rsid w:val="005F6CF6"/>
    <w:rsid w:val="006047FE"/>
    <w:rsid w:val="006148B7"/>
    <w:rsid w:val="0062571A"/>
    <w:rsid w:val="0063006B"/>
    <w:rsid w:val="00634DBF"/>
    <w:rsid w:val="00645FBD"/>
    <w:rsid w:val="00665E9E"/>
    <w:rsid w:val="00673AAD"/>
    <w:rsid w:val="00682943"/>
    <w:rsid w:val="00694893"/>
    <w:rsid w:val="006956E9"/>
    <w:rsid w:val="00697A28"/>
    <w:rsid w:val="006C4A16"/>
    <w:rsid w:val="006D0CF8"/>
    <w:rsid w:val="006E5F2E"/>
    <w:rsid w:val="006F1C7C"/>
    <w:rsid w:val="006F6F93"/>
    <w:rsid w:val="00710783"/>
    <w:rsid w:val="0071797D"/>
    <w:rsid w:val="00717CDD"/>
    <w:rsid w:val="007279D0"/>
    <w:rsid w:val="0074155B"/>
    <w:rsid w:val="00745B56"/>
    <w:rsid w:val="007461BF"/>
    <w:rsid w:val="00746EAB"/>
    <w:rsid w:val="00772859"/>
    <w:rsid w:val="007849EE"/>
    <w:rsid w:val="007A4AB1"/>
    <w:rsid w:val="007C52C6"/>
    <w:rsid w:val="007C6BFB"/>
    <w:rsid w:val="007C79D8"/>
    <w:rsid w:val="00803D9D"/>
    <w:rsid w:val="0080473F"/>
    <w:rsid w:val="008129B9"/>
    <w:rsid w:val="00832A59"/>
    <w:rsid w:val="00835298"/>
    <w:rsid w:val="00861291"/>
    <w:rsid w:val="00877556"/>
    <w:rsid w:val="00885E60"/>
    <w:rsid w:val="008904DC"/>
    <w:rsid w:val="00891366"/>
    <w:rsid w:val="008A0108"/>
    <w:rsid w:val="008A4939"/>
    <w:rsid w:val="008B5EAC"/>
    <w:rsid w:val="008F159C"/>
    <w:rsid w:val="008F1C04"/>
    <w:rsid w:val="00920128"/>
    <w:rsid w:val="00942BDD"/>
    <w:rsid w:val="0095390A"/>
    <w:rsid w:val="00970249"/>
    <w:rsid w:val="009A132A"/>
    <w:rsid w:val="009D4675"/>
    <w:rsid w:val="009E563C"/>
    <w:rsid w:val="009F0C29"/>
    <w:rsid w:val="00A45AA9"/>
    <w:rsid w:val="00A6481F"/>
    <w:rsid w:val="00A671D1"/>
    <w:rsid w:val="00A73012"/>
    <w:rsid w:val="00A74A7C"/>
    <w:rsid w:val="00A875DD"/>
    <w:rsid w:val="00AA0559"/>
    <w:rsid w:val="00AA3F4B"/>
    <w:rsid w:val="00AA519A"/>
    <w:rsid w:val="00AB35EE"/>
    <w:rsid w:val="00AB469A"/>
    <w:rsid w:val="00AC45CF"/>
    <w:rsid w:val="00AD1D3D"/>
    <w:rsid w:val="00AD32D7"/>
    <w:rsid w:val="00AD6C68"/>
    <w:rsid w:val="00AE0187"/>
    <w:rsid w:val="00AE266C"/>
    <w:rsid w:val="00AE2B20"/>
    <w:rsid w:val="00AE2E2B"/>
    <w:rsid w:val="00B21969"/>
    <w:rsid w:val="00B31AEC"/>
    <w:rsid w:val="00B32B83"/>
    <w:rsid w:val="00B71669"/>
    <w:rsid w:val="00B7363E"/>
    <w:rsid w:val="00B75389"/>
    <w:rsid w:val="00B9314F"/>
    <w:rsid w:val="00B93C42"/>
    <w:rsid w:val="00BA0E32"/>
    <w:rsid w:val="00BA3B19"/>
    <w:rsid w:val="00BC7632"/>
    <w:rsid w:val="00BC7E0D"/>
    <w:rsid w:val="00BD04F6"/>
    <w:rsid w:val="00BD6783"/>
    <w:rsid w:val="00BD719F"/>
    <w:rsid w:val="00BF0496"/>
    <w:rsid w:val="00C03BC4"/>
    <w:rsid w:val="00C10014"/>
    <w:rsid w:val="00C37F25"/>
    <w:rsid w:val="00C75F50"/>
    <w:rsid w:val="00C761E6"/>
    <w:rsid w:val="00C83600"/>
    <w:rsid w:val="00C849FE"/>
    <w:rsid w:val="00CA51F1"/>
    <w:rsid w:val="00CD225A"/>
    <w:rsid w:val="00CE147A"/>
    <w:rsid w:val="00CE26AC"/>
    <w:rsid w:val="00CE3EAF"/>
    <w:rsid w:val="00CF36B4"/>
    <w:rsid w:val="00CF4752"/>
    <w:rsid w:val="00D13BE0"/>
    <w:rsid w:val="00D25553"/>
    <w:rsid w:val="00D264BC"/>
    <w:rsid w:val="00D4216E"/>
    <w:rsid w:val="00D45D6F"/>
    <w:rsid w:val="00D54937"/>
    <w:rsid w:val="00D7738B"/>
    <w:rsid w:val="00D86B75"/>
    <w:rsid w:val="00D97534"/>
    <w:rsid w:val="00DA15F8"/>
    <w:rsid w:val="00DA4A7A"/>
    <w:rsid w:val="00DD2514"/>
    <w:rsid w:val="00DE39BC"/>
    <w:rsid w:val="00DF1FE7"/>
    <w:rsid w:val="00DF3663"/>
    <w:rsid w:val="00E077FF"/>
    <w:rsid w:val="00E115B7"/>
    <w:rsid w:val="00E52A79"/>
    <w:rsid w:val="00E54D27"/>
    <w:rsid w:val="00E75DAF"/>
    <w:rsid w:val="00EA3412"/>
    <w:rsid w:val="00EA6511"/>
    <w:rsid w:val="00EC3EEE"/>
    <w:rsid w:val="00ED1589"/>
    <w:rsid w:val="00ED743D"/>
    <w:rsid w:val="00EE1256"/>
    <w:rsid w:val="00EE2E5E"/>
    <w:rsid w:val="00EE3386"/>
    <w:rsid w:val="00EE597F"/>
    <w:rsid w:val="00EE7499"/>
    <w:rsid w:val="00EF4B75"/>
    <w:rsid w:val="00F14E41"/>
    <w:rsid w:val="00F26071"/>
    <w:rsid w:val="00F32A8E"/>
    <w:rsid w:val="00F53889"/>
    <w:rsid w:val="00F56D9F"/>
    <w:rsid w:val="00F63299"/>
    <w:rsid w:val="00F90C4A"/>
    <w:rsid w:val="00F9776E"/>
    <w:rsid w:val="00FA2DFA"/>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27F93"/>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rsid w:val="002632A2"/>
    <w:rPr>
      <w:sz w:val="20"/>
      <w:szCs w:val="20"/>
    </w:rPr>
  </w:style>
  <w:style w:type="character" w:customStyle="1" w:styleId="FootnoteTextChar">
    <w:name w:val="Footnote Text Char"/>
    <w:basedOn w:val="DefaultParagraphFont"/>
    <w:link w:val="FootnoteText"/>
    <w:rsid w:val="002632A2"/>
    <w:rPr>
      <w:rFonts w:ascii="Times New Roman" w:eastAsia="Times New Roman" w:hAnsi="Times New Roman" w:cs="Times New Roman"/>
      <w:sz w:val="20"/>
      <w:szCs w:val="20"/>
      <w:lang w:eastAsia="lv-LV"/>
    </w:rPr>
  </w:style>
  <w:style w:type="character" w:styleId="FootnoteReference">
    <w:name w:val="footnote reference"/>
    <w:rsid w:val="002632A2"/>
    <w:rPr>
      <w:vertAlign w:val="superscript"/>
    </w:rPr>
  </w:style>
  <w:style w:type="character" w:customStyle="1" w:styleId="Neatrisintapieminana1">
    <w:name w:val="Neatrisināta pieminēšana1"/>
    <w:basedOn w:val="DefaultParagraphFont"/>
    <w:uiPriority w:val="99"/>
    <w:semiHidden/>
    <w:unhideWhenUsed/>
    <w:rsid w:val="003517C3"/>
    <w:rPr>
      <w:color w:val="605E5C"/>
      <w:shd w:val="clear" w:color="auto" w:fill="E1DFDD"/>
    </w:rPr>
  </w:style>
  <w:style w:type="paragraph" w:styleId="Revision">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DefaultParagraphFont"/>
    <w:uiPriority w:val="99"/>
    <w:semiHidden/>
    <w:unhideWhenUsed/>
    <w:rsid w:val="000216A8"/>
    <w:rPr>
      <w:color w:val="605E5C"/>
      <w:shd w:val="clear" w:color="auto" w:fill="E1DFDD"/>
    </w:rPr>
  </w:style>
  <w:style w:type="paragraph" w:styleId="EndnoteText">
    <w:name w:val="endnote text"/>
    <w:basedOn w:val="Normal"/>
    <w:link w:val="EndnoteTextChar"/>
    <w:uiPriority w:val="99"/>
    <w:semiHidden/>
    <w:unhideWhenUsed/>
    <w:rsid w:val="00B71669"/>
    <w:rPr>
      <w:sz w:val="20"/>
      <w:szCs w:val="20"/>
    </w:rPr>
  </w:style>
  <w:style w:type="character" w:customStyle="1" w:styleId="EndnoteTextChar">
    <w:name w:val="Endnote Text Char"/>
    <w:basedOn w:val="DefaultParagraphFont"/>
    <w:link w:val="EndnoteText"/>
    <w:uiPriority w:val="99"/>
    <w:semiHidden/>
    <w:rsid w:val="00B7166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71669"/>
    <w:rPr>
      <w:vertAlign w:val="superscript"/>
    </w:rPr>
  </w:style>
  <w:style w:type="table" w:customStyle="1" w:styleId="TableGrid1">
    <w:name w:val="Table Grid1"/>
    <w:basedOn w:val="TableNormal"/>
    <w:next w:val="TableGrid"/>
    <w:uiPriority w:val="39"/>
    <w:rsid w:val="00AE0187"/>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E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videscentrs.lvgmc.lv/iebuvets/zemes-dzilu-informacijas-sistema" TargetMode="External"/><Relationship Id="rId1" Type="http://schemas.openxmlformats.org/officeDocument/2006/relationships/hyperlink" Target="https://izraktenis.lvgmc.lv/atradnes/B17662/pase/188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B95C-040D-4CF0-A5BD-1F5E37DA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6676</Words>
  <Characters>3806</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2024-06-27T13:22:00Z</cp:lastPrinted>
  <dcterms:created xsi:type="dcterms:W3CDTF">2024-06-27T13:22:00Z</dcterms:created>
  <dcterms:modified xsi:type="dcterms:W3CDTF">2024-06-27T13:22:00Z</dcterms:modified>
</cp:coreProperties>
</file>