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A3866" w14:textId="40EF3CE2" w:rsidR="00EA4092" w:rsidRPr="00EA4092" w:rsidRDefault="00EA4092" w:rsidP="00EA4092">
      <w:pPr>
        <w:pStyle w:val="Virsraksts4"/>
        <w:shd w:val="clear" w:color="auto" w:fill="FFFFFF"/>
        <w:spacing w:before="0" w:beforeAutospacing="0" w:after="120" w:afterAutospacing="0"/>
        <w:jc w:val="right"/>
        <w:rPr>
          <w:b w:val="0"/>
        </w:rPr>
      </w:pPr>
      <w:r w:rsidRPr="00EA4092">
        <w:rPr>
          <w:b w:val="0"/>
        </w:rPr>
        <w:t>Projekts</w:t>
      </w:r>
    </w:p>
    <w:p w14:paraId="6CD36017" w14:textId="041A3916" w:rsidR="00EC371A" w:rsidRDefault="009B134F" w:rsidP="00EC371A">
      <w:pPr>
        <w:pStyle w:val="Virsraksts4"/>
        <w:shd w:val="clear" w:color="auto" w:fill="FFFFFF"/>
        <w:spacing w:before="0" w:beforeAutospacing="0" w:after="0" w:afterAutospacing="0"/>
        <w:jc w:val="center"/>
      </w:pPr>
      <w:r>
        <w:t>Ogres novada pašvaldības saistošo noteikumu Nr.</w:t>
      </w:r>
      <w:r w:rsidR="006F1ADF">
        <w:t>__</w:t>
      </w:r>
      <w:r>
        <w:t>/202</w:t>
      </w:r>
      <w:r w:rsidR="004F00C0">
        <w:t>5</w:t>
      </w:r>
      <w:r>
        <w:t xml:space="preserve"> “</w:t>
      </w:r>
      <w:r w:rsidR="001B09C2" w:rsidRPr="00323ADC">
        <w:t>Grozījum</w:t>
      </w:r>
      <w:r w:rsidR="004F00C0">
        <w:t>i</w:t>
      </w:r>
      <w:r w:rsidR="001B09C2" w:rsidRPr="00323ADC">
        <w:t xml:space="preserve"> Ogres novada pašvaldības 202</w:t>
      </w:r>
      <w:r w:rsidR="00683339" w:rsidRPr="00323ADC">
        <w:t>4</w:t>
      </w:r>
      <w:r w:rsidR="001B09C2" w:rsidRPr="00323ADC">
        <w:t xml:space="preserve">. gada </w:t>
      </w:r>
      <w:r w:rsidR="00683339" w:rsidRPr="00323ADC">
        <w:t>27</w:t>
      </w:r>
      <w:r w:rsidR="001B09C2" w:rsidRPr="00323ADC">
        <w:t xml:space="preserve">. </w:t>
      </w:r>
      <w:r w:rsidR="004F00C0">
        <w:t>marta</w:t>
      </w:r>
      <w:r w:rsidR="001B09C2" w:rsidRPr="00323ADC">
        <w:t xml:space="preserve"> saistošajos noteikumos Nr.</w:t>
      </w:r>
      <w:r w:rsidR="00F439E0">
        <w:t xml:space="preserve"> </w:t>
      </w:r>
      <w:r w:rsidR="004F00C0">
        <w:t>8</w:t>
      </w:r>
      <w:r w:rsidR="001B09C2" w:rsidRPr="00323ADC">
        <w:t>/202</w:t>
      </w:r>
      <w:r w:rsidR="00683339" w:rsidRPr="00323ADC">
        <w:t>4</w:t>
      </w:r>
      <w:r w:rsidR="001B09C2" w:rsidRPr="00323ADC">
        <w:t xml:space="preserve"> “</w:t>
      </w:r>
      <w:r w:rsidR="004F00C0" w:rsidRPr="004F00C0">
        <w:t>Ogres novada jaunatnes iniciatīvu projektu konkursa “Jauniešu [ie]spēja</w:t>
      </w:r>
      <w:bookmarkStart w:id="0" w:name="_GoBack"/>
      <w:bookmarkEnd w:id="0"/>
      <w:r w:rsidR="004F00C0" w:rsidRPr="004F00C0">
        <w:t>” nolikums”</w:t>
      </w:r>
      <w:r>
        <w:t>”</w:t>
      </w:r>
    </w:p>
    <w:p w14:paraId="316EDB7F" w14:textId="7C2D3190" w:rsidR="001B09C2" w:rsidRPr="00323ADC" w:rsidRDefault="001B09C2" w:rsidP="00EC371A">
      <w:pPr>
        <w:pStyle w:val="Virsraksts4"/>
        <w:shd w:val="clear" w:color="auto" w:fill="FFFFFF"/>
        <w:spacing w:before="0" w:beforeAutospacing="0" w:after="0" w:afterAutospacing="0"/>
        <w:jc w:val="center"/>
        <w:rPr>
          <w:b w:val="0"/>
          <w:bCs w:val="0"/>
        </w:rPr>
      </w:pPr>
      <w:r w:rsidRPr="00323ADC">
        <w:t>paskaidrojuma raksts</w:t>
      </w:r>
    </w:p>
    <w:p w14:paraId="04E75ABA" w14:textId="77777777" w:rsidR="009161D9" w:rsidRPr="00571342" w:rsidRDefault="009161D9" w:rsidP="009B134F">
      <w:pPr>
        <w:widowControl/>
        <w:spacing w:after="0" w:line="240" w:lineRule="auto"/>
        <w:jc w:val="center"/>
        <w:textAlignment w:val="baseline"/>
        <w:rPr>
          <w:rFonts w:ascii="Times New Roman" w:eastAsia="Times New Roman" w:hAnsi="Times New Roman"/>
          <w:sz w:val="28"/>
          <w:szCs w:val="28"/>
          <w:lang w:eastAsia="lv-LV"/>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17AB443"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03EE7"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AC9F9A3"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1E99F9C1"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624436"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92DA96" w14:textId="77777777" w:rsidR="004F00C0" w:rsidRPr="004F00C0"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 xml:space="preserve">Ogres novada pašvaldības dome 2024. gada 27. martā pieņēma saistošos noteikumus Nr. 8/2024 “Ogres novada jaunatnes iniciatīvu projektu konkursa “Jauniešu [ie]spēja” nolikums” (turpmāk – Saistošie noteikumi). </w:t>
            </w:r>
          </w:p>
          <w:p w14:paraId="33D871E0" w14:textId="77777777" w:rsidR="004F00C0" w:rsidRPr="004F00C0"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Saistošie noteikumi nosaka dalības nosacījumus projektu konkursā “Jauniešu [ie]spēja”, pieejamā finansējuma apjoma un izlietojuma nosacījumus, izsludināšanas un norises kārtību, projektu pieteikumu izvērtēšanu un apstiprināšanu, vērtēšanas kritērijus, īstenošanas un uzraudzības kārtību.</w:t>
            </w:r>
          </w:p>
          <w:p w14:paraId="11957FDC" w14:textId="77777777" w:rsidR="004F00C0" w:rsidRPr="004F00C0"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 xml:space="preserve">Lai nodrošinātu veiksmīgāku jaunatnes iniciatīvas projektu realizāciju, ņemot vērā iepriekšējo gadu pieredzi ar iesniegto un realizēto projektu skaita atšķirību, Ogres novada jaunatnes lietu konsultatīvā komisija ieteikusi pielāgot projektu īstenošanas laiku mācību gada ietvaram. </w:t>
            </w:r>
          </w:p>
          <w:p w14:paraId="510742C9" w14:textId="2F56DA76" w:rsidR="002A3803" w:rsidRPr="00396FDC"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Pamatojoties uz augstākminēto, sagatavoti grozījumi Saistošajos noteikumos, nosakot projektu realizācijas termiņu līdz 20. augustam.</w:t>
            </w:r>
          </w:p>
        </w:tc>
      </w:tr>
      <w:tr w:rsidR="006D4756" w:rsidRPr="009E05F5" w14:paraId="5FABAC8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0F27B3"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72B58D" w14:textId="6E254C74" w:rsidR="009161D9" w:rsidRPr="004F7053" w:rsidRDefault="004F00C0" w:rsidP="0051253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Nav attiecināms</w:t>
            </w:r>
            <w:r w:rsidR="00084584">
              <w:rPr>
                <w:rFonts w:ascii="Times New Roman" w:eastAsia="Times New Roman" w:hAnsi="Times New Roman"/>
                <w:sz w:val="24"/>
                <w:szCs w:val="24"/>
                <w:lang w:eastAsia="lv-LV"/>
              </w:rPr>
              <w:t xml:space="preserve"> </w:t>
            </w:r>
          </w:p>
        </w:tc>
      </w:tr>
      <w:tr w:rsidR="006D4756" w:rsidRPr="009E05F5" w14:paraId="65A4B62F"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77E41"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AA9B9E"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3.1. Sociālā ietekme – nav;</w:t>
            </w:r>
          </w:p>
          <w:p w14:paraId="7DED692B"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3.2. Ietekme uz vidi – nav;</w:t>
            </w:r>
          </w:p>
          <w:p w14:paraId="4F486156"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3.3. Ietekme uz iedzīvotāju veselību – nav;</w:t>
            </w:r>
          </w:p>
          <w:p w14:paraId="52A3F7EA"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3.4. Ietekme uz uzņēmējdarbības vidi – nav;</w:t>
            </w:r>
          </w:p>
          <w:p w14:paraId="02252262" w14:textId="52241F19" w:rsidR="00026007" w:rsidRPr="002A3803" w:rsidRDefault="00683339" w:rsidP="004D1BF9">
            <w:pPr>
              <w:widowControl/>
              <w:spacing w:after="12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3.5. Ietekme uz konkurenci – nav.</w:t>
            </w:r>
          </w:p>
        </w:tc>
      </w:tr>
      <w:tr w:rsidR="006D4756" w:rsidRPr="009E05F5" w14:paraId="555AF745"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E05D6"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915D360" w14:textId="735D63AF" w:rsidR="0013094D" w:rsidRPr="004F15C3" w:rsidRDefault="004F00C0" w:rsidP="00683339">
            <w:pPr>
              <w:widowControl/>
              <w:spacing w:after="0" w:line="0" w:lineRule="atLeast"/>
              <w:ind w:right="102"/>
              <w:jc w:val="both"/>
              <w:textAlignment w:val="baseline"/>
              <w:rPr>
                <w:rFonts w:ascii="Times New Roman" w:eastAsia="Times New Roman" w:hAnsi="Times New Roman"/>
                <w:sz w:val="24"/>
                <w:szCs w:val="24"/>
                <w:lang w:eastAsia="lv-LV"/>
              </w:rPr>
            </w:pPr>
            <w:r>
              <w:rPr>
                <w:rFonts w:ascii="Times New Roman" w:hAnsi="Times New Roman"/>
                <w:sz w:val="24"/>
                <w:szCs w:val="24"/>
              </w:rPr>
              <w:t>Nav attiecināms</w:t>
            </w:r>
          </w:p>
        </w:tc>
      </w:tr>
      <w:tr w:rsidR="00683339" w:rsidRPr="009E05F5" w14:paraId="237D6B1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CF367" w14:textId="77777777" w:rsidR="00683339" w:rsidRPr="009E05F5" w:rsidRDefault="00683339" w:rsidP="00683339">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A26805" w14:textId="0C9187EE" w:rsidR="00683339" w:rsidRPr="005D646E" w:rsidRDefault="004F00C0" w:rsidP="00683339">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hAnsi="Times New Roman"/>
                <w:sz w:val="24"/>
                <w:szCs w:val="24"/>
              </w:rPr>
              <w:t>Nav attiecināms</w:t>
            </w:r>
          </w:p>
        </w:tc>
      </w:tr>
      <w:tr w:rsidR="00683339" w:rsidRPr="009E05F5" w14:paraId="32EB84FC"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826B69" w14:textId="77777777" w:rsidR="00683339" w:rsidRPr="009E05F5" w:rsidRDefault="00683339" w:rsidP="00683339">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ABABD2" w14:textId="7D1EA1E2" w:rsidR="00683339" w:rsidRPr="005D646E" w:rsidRDefault="00217ADA" w:rsidP="00683339">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hAnsi="Times New Roman"/>
                <w:sz w:val="24"/>
                <w:szCs w:val="24"/>
              </w:rPr>
              <w:t>Nav attiecināms</w:t>
            </w:r>
          </w:p>
        </w:tc>
      </w:tr>
      <w:tr w:rsidR="00683339" w:rsidRPr="009E05F5" w14:paraId="795A3EF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598E64" w14:textId="77777777" w:rsidR="00683339" w:rsidRPr="009E05F5" w:rsidRDefault="00683339" w:rsidP="00683339">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Prasību un izmaksu samērīgums pret ieguvumiem, ko 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B859CF" w14:textId="292A2C50" w:rsidR="00683339" w:rsidRPr="00512534"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84349D">
              <w:rPr>
                <w:rFonts w:ascii="Times New Roman" w:hAnsi="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83339" w:rsidRPr="009E05F5" w14:paraId="02F4B3A6"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2EE26D" w14:textId="77777777" w:rsidR="00683339" w:rsidRPr="009E05F5" w:rsidRDefault="00683339" w:rsidP="00683339">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33A2AE" w14:textId="460DDDE2" w:rsidR="00683339" w:rsidRPr="00EE21E4" w:rsidRDefault="00EC371A" w:rsidP="00217AD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Saistošo n</w:t>
            </w:r>
            <w:r w:rsidR="00683339" w:rsidRPr="00625A42">
              <w:rPr>
                <w:rFonts w:ascii="Times New Roman" w:hAnsi="Times New Roman"/>
                <w:color w:val="000000"/>
                <w:sz w:val="24"/>
                <w:szCs w:val="24"/>
              </w:rPr>
              <w:t xml:space="preserve">oteikumu </w:t>
            </w:r>
            <w:r w:rsidR="00BF0C8A">
              <w:rPr>
                <w:rFonts w:ascii="Times New Roman" w:hAnsi="Times New Roman"/>
                <w:color w:val="000000"/>
                <w:sz w:val="24"/>
                <w:szCs w:val="24"/>
              </w:rPr>
              <w:t xml:space="preserve">grozījumi </w:t>
            </w:r>
            <w:r w:rsidR="00683339" w:rsidRPr="00625A42">
              <w:rPr>
                <w:rFonts w:ascii="Times New Roman" w:hAnsi="Times New Roman"/>
                <w:color w:val="000000"/>
                <w:sz w:val="24"/>
                <w:szCs w:val="24"/>
              </w:rPr>
              <w:t>un t</w:t>
            </w:r>
            <w:r>
              <w:rPr>
                <w:rFonts w:ascii="Times New Roman" w:hAnsi="Times New Roman"/>
                <w:color w:val="000000"/>
                <w:sz w:val="24"/>
                <w:szCs w:val="24"/>
              </w:rPr>
              <w:t>o</w:t>
            </w:r>
            <w:r w:rsidR="00683339" w:rsidRPr="00625A42">
              <w:rPr>
                <w:rFonts w:ascii="Times New Roman" w:hAnsi="Times New Roman"/>
                <w:color w:val="000000"/>
                <w:sz w:val="24"/>
                <w:szCs w:val="24"/>
              </w:rPr>
              <w:t xml:space="preserve"> paskaidrojuma raksts normatīvajos aktos noteikt</w:t>
            </w:r>
            <w:r>
              <w:rPr>
                <w:rFonts w:ascii="Times New Roman" w:hAnsi="Times New Roman"/>
                <w:color w:val="000000"/>
                <w:sz w:val="24"/>
                <w:szCs w:val="24"/>
              </w:rPr>
              <w:t>ajā</w:t>
            </w:r>
            <w:r w:rsidR="00683339" w:rsidRPr="00603700">
              <w:rPr>
                <w:rFonts w:ascii="Times New Roman" w:hAnsi="Times New Roman"/>
                <w:color w:val="000000"/>
                <w:sz w:val="24"/>
                <w:szCs w:val="24"/>
              </w:rPr>
              <w:t xml:space="preserve"> </w:t>
            </w:r>
            <w:r w:rsidR="00683339" w:rsidRPr="00625A42">
              <w:rPr>
                <w:rFonts w:ascii="Times New Roman" w:hAnsi="Times New Roman"/>
                <w:color w:val="000000"/>
                <w:sz w:val="24"/>
                <w:szCs w:val="24"/>
              </w:rPr>
              <w:t xml:space="preserve">kārtībā </w:t>
            </w:r>
            <w:r w:rsidR="00217ADA">
              <w:rPr>
                <w:rFonts w:ascii="Times New Roman" w:hAnsi="Times New Roman"/>
                <w:color w:val="000000"/>
                <w:sz w:val="24"/>
                <w:szCs w:val="24"/>
              </w:rPr>
              <w:t xml:space="preserve">tiks </w:t>
            </w:r>
            <w:r w:rsidR="00683339" w:rsidRPr="00625A42">
              <w:rPr>
                <w:rFonts w:ascii="Times New Roman" w:hAnsi="Times New Roman"/>
                <w:color w:val="000000"/>
                <w:sz w:val="24"/>
                <w:szCs w:val="24"/>
              </w:rPr>
              <w:t xml:space="preserve">publicēts pašvaldības tīmekļvietnē sabiedrības </w:t>
            </w:r>
            <w:r w:rsidR="00683339">
              <w:rPr>
                <w:rFonts w:ascii="Times New Roman" w:hAnsi="Times New Roman"/>
                <w:color w:val="000000"/>
                <w:sz w:val="24"/>
                <w:szCs w:val="24"/>
              </w:rPr>
              <w:t>viedokļa noskaidrošanai</w:t>
            </w:r>
            <w:r w:rsidR="00683339" w:rsidRPr="00625A42">
              <w:rPr>
                <w:rFonts w:ascii="Times New Roman" w:hAnsi="Times New Roman"/>
                <w:color w:val="000000"/>
                <w:sz w:val="24"/>
                <w:szCs w:val="24"/>
              </w:rPr>
              <w:t>.</w:t>
            </w:r>
            <w:r w:rsidR="00EE21E4">
              <w:rPr>
                <w:rFonts w:ascii="Times New Roman" w:hAnsi="Times New Roman"/>
                <w:color w:val="000000"/>
                <w:sz w:val="24"/>
                <w:szCs w:val="24"/>
              </w:rPr>
              <w:t xml:space="preserve"> </w:t>
            </w:r>
          </w:p>
        </w:tc>
      </w:tr>
    </w:tbl>
    <w:p w14:paraId="009C90E5"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116F4D68" w14:textId="77777777" w:rsidR="00395277" w:rsidRDefault="00395277" w:rsidP="009B134F">
      <w:pPr>
        <w:spacing w:after="0"/>
      </w:pPr>
    </w:p>
    <w:p w14:paraId="7519658C" w14:textId="6F3042D5" w:rsidR="00716000" w:rsidRPr="008802C9" w:rsidRDefault="00716000" w:rsidP="00CB2E40">
      <w:pPr>
        <w:rPr>
          <w:rFonts w:ascii="Times New Roman" w:hAnsi="Times New Roman"/>
          <w:sz w:val="24"/>
          <w:szCs w:val="24"/>
        </w:rPr>
      </w:pPr>
      <w:r w:rsidRPr="00A873BA">
        <w:rPr>
          <w:rFonts w:ascii="Times New Roman" w:hAnsi="Times New Roman"/>
          <w:sz w:val="24"/>
          <w:szCs w:val="24"/>
        </w:rPr>
        <w:t>Domes priekšsēdētājs</w:t>
      </w:r>
      <w:r w:rsidRPr="00A873BA">
        <w:rPr>
          <w:rFonts w:ascii="Times New Roman" w:hAnsi="Times New Roman"/>
          <w:sz w:val="24"/>
          <w:szCs w:val="24"/>
        </w:rPr>
        <w:tab/>
      </w:r>
      <w:r w:rsidRPr="00A873BA">
        <w:rPr>
          <w:rFonts w:ascii="Times New Roman" w:hAnsi="Times New Roman"/>
          <w:sz w:val="24"/>
          <w:szCs w:val="24"/>
        </w:rPr>
        <w:tab/>
      </w:r>
      <w:r>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00D465F5">
        <w:rPr>
          <w:rFonts w:ascii="Times New Roman" w:hAnsi="Times New Roman"/>
          <w:sz w:val="24"/>
          <w:szCs w:val="24"/>
        </w:rPr>
        <w:t xml:space="preserve">          </w:t>
      </w:r>
      <w:r w:rsidRPr="00A873BA">
        <w:rPr>
          <w:rFonts w:ascii="Times New Roman" w:hAnsi="Times New Roman"/>
          <w:sz w:val="24"/>
          <w:szCs w:val="24"/>
        </w:rPr>
        <w:t>E.</w:t>
      </w:r>
      <w:r>
        <w:rPr>
          <w:rFonts w:ascii="Times New Roman" w:hAnsi="Times New Roman"/>
          <w:sz w:val="24"/>
          <w:szCs w:val="24"/>
        </w:rPr>
        <w:t xml:space="preserve"> </w:t>
      </w:r>
      <w:r w:rsidRPr="00A873BA">
        <w:rPr>
          <w:rFonts w:ascii="Times New Roman" w:hAnsi="Times New Roman"/>
          <w:sz w:val="24"/>
          <w:szCs w:val="24"/>
        </w:rPr>
        <w:t>Helmanis</w:t>
      </w:r>
    </w:p>
    <w:sectPr w:rsidR="00716000" w:rsidRPr="008802C9" w:rsidSect="009B134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573B" w14:textId="77777777" w:rsidR="00DE098A" w:rsidRDefault="00DE098A" w:rsidP="009161D9">
      <w:pPr>
        <w:spacing w:after="0" w:line="240" w:lineRule="auto"/>
      </w:pPr>
      <w:r>
        <w:separator/>
      </w:r>
    </w:p>
  </w:endnote>
  <w:endnote w:type="continuationSeparator" w:id="0">
    <w:p w14:paraId="012356EE" w14:textId="77777777" w:rsidR="00DE098A" w:rsidRDefault="00DE098A"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1DDF3" w14:textId="77777777" w:rsidR="00DE098A" w:rsidRDefault="00DE098A" w:rsidP="009161D9">
      <w:pPr>
        <w:spacing w:after="0" w:line="240" w:lineRule="auto"/>
      </w:pPr>
      <w:r>
        <w:separator/>
      </w:r>
    </w:p>
  </w:footnote>
  <w:footnote w:type="continuationSeparator" w:id="0">
    <w:p w14:paraId="2F9ED630" w14:textId="77777777" w:rsidR="00DE098A" w:rsidRDefault="00DE098A"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8FDEBE26"/>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A9129B0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F9C0D96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A6B029C6"/>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216ED75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22404186"/>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58E6CB1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1C22BBB8"/>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84584"/>
    <w:rsid w:val="000A0210"/>
    <w:rsid w:val="000B4051"/>
    <w:rsid w:val="000E3A8B"/>
    <w:rsid w:val="0010291D"/>
    <w:rsid w:val="001030CD"/>
    <w:rsid w:val="0013094D"/>
    <w:rsid w:val="00137BB6"/>
    <w:rsid w:val="001A4284"/>
    <w:rsid w:val="001A6912"/>
    <w:rsid w:val="001B09C2"/>
    <w:rsid w:val="002059A0"/>
    <w:rsid w:val="00215F79"/>
    <w:rsid w:val="00217ADA"/>
    <w:rsid w:val="002A3803"/>
    <w:rsid w:val="002D4735"/>
    <w:rsid w:val="00323ADC"/>
    <w:rsid w:val="00346C0C"/>
    <w:rsid w:val="00352DF2"/>
    <w:rsid w:val="00395277"/>
    <w:rsid w:val="004D1BF9"/>
    <w:rsid w:val="004F00C0"/>
    <w:rsid w:val="00512534"/>
    <w:rsid w:val="005845BB"/>
    <w:rsid w:val="005A2A67"/>
    <w:rsid w:val="005C32B9"/>
    <w:rsid w:val="00610DD5"/>
    <w:rsid w:val="0063766F"/>
    <w:rsid w:val="00637DC7"/>
    <w:rsid w:val="00653EC6"/>
    <w:rsid w:val="00654DB7"/>
    <w:rsid w:val="00683339"/>
    <w:rsid w:val="006D4756"/>
    <w:rsid w:val="006F1ADF"/>
    <w:rsid w:val="006F1FEA"/>
    <w:rsid w:val="00716000"/>
    <w:rsid w:val="00737A4F"/>
    <w:rsid w:val="00753044"/>
    <w:rsid w:val="00765C45"/>
    <w:rsid w:val="0077043E"/>
    <w:rsid w:val="00770C56"/>
    <w:rsid w:val="007745AC"/>
    <w:rsid w:val="0078442B"/>
    <w:rsid w:val="007E6281"/>
    <w:rsid w:val="00830D01"/>
    <w:rsid w:val="00835867"/>
    <w:rsid w:val="0084349D"/>
    <w:rsid w:val="008802C9"/>
    <w:rsid w:val="00903E1E"/>
    <w:rsid w:val="009161D9"/>
    <w:rsid w:val="00921921"/>
    <w:rsid w:val="009364F4"/>
    <w:rsid w:val="009645AA"/>
    <w:rsid w:val="00967DD0"/>
    <w:rsid w:val="009B134F"/>
    <w:rsid w:val="009C6FE3"/>
    <w:rsid w:val="009D03DB"/>
    <w:rsid w:val="00AE108D"/>
    <w:rsid w:val="00AF4AF3"/>
    <w:rsid w:val="00AF5546"/>
    <w:rsid w:val="00BC4ED3"/>
    <w:rsid w:val="00BD41AF"/>
    <w:rsid w:val="00BF0C8A"/>
    <w:rsid w:val="00C01826"/>
    <w:rsid w:val="00C10B6E"/>
    <w:rsid w:val="00CA7192"/>
    <w:rsid w:val="00CB2E40"/>
    <w:rsid w:val="00CD5E6D"/>
    <w:rsid w:val="00CF0922"/>
    <w:rsid w:val="00D42B7A"/>
    <w:rsid w:val="00D465F5"/>
    <w:rsid w:val="00D546D1"/>
    <w:rsid w:val="00DA1B10"/>
    <w:rsid w:val="00DC4BC5"/>
    <w:rsid w:val="00DC5333"/>
    <w:rsid w:val="00DE098A"/>
    <w:rsid w:val="00E54A35"/>
    <w:rsid w:val="00E62C9D"/>
    <w:rsid w:val="00E92016"/>
    <w:rsid w:val="00EA4092"/>
    <w:rsid w:val="00EC371A"/>
    <w:rsid w:val="00EE21E4"/>
    <w:rsid w:val="00EE77B7"/>
    <w:rsid w:val="00EF2DBE"/>
    <w:rsid w:val="00F108F7"/>
    <w:rsid w:val="00F439E0"/>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57A4"/>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683339"/>
    <w:pPr>
      <w:widowControl/>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customStyle="1" w:styleId="Virsraksts4Rakstz">
    <w:name w:val="Virsraksts 4 Rakstz."/>
    <w:basedOn w:val="Noklusjumarindkopasfonts"/>
    <w:link w:val="Virsraksts4"/>
    <w:uiPriority w:val="9"/>
    <w:rsid w:val="00683339"/>
    <w:rPr>
      <w:rFonts w:ascii="Times New Roman" w:eastAsia="Times New Roman" w:hAnsi="Times New Roman" w:cs="Times New Roman"/>
      <w:b/>
      <w:bCs/>
      <w:sz w:val="24"/>
      <w:szCs w:val="24"/>
      <w:lang w:eastAsia="lv-LV"/>
    </w:rPr>
  </w:style>
  <w:style w:type="paragraph" w:styleId="Balonteksts">
    <w:name w:val="Balloon Text"/>
    <w:basedOn w:val="Parasts"/>
    <w:link w:val="BalontekstsRakstz"/>
    <w:uiPriority w:val="99"/>
    <w:semiHidden/>
    <w:unhideWhenUsed/>
    <w:rsid w:val="009B13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B13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979">
      <w:bodyDiv w:val="1"/>
      <w:marLeft w:val="0"/>
      <w:marRight w:val="0"/>
      <w:marTop w:val="0"/>
      <w:marBottom w:val="0"/>
      <w:divBdr>
        <w:top w:val="none" w:sz="0" w:space="0" w:color="auto"/>
        <w:left w:val="none" w:sz="0" w:space="0" w:color="auto"/>
        <w:bottom w:val="none" w:sz="0" w:space="0" w:color="auto"/>
        <w:right w:val="none" w:sz="0" w:space="0" w:color="auto"/>
      </w:divBdr>
    </w:div>
    <w:div w:id="1347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1570</Words>
  <Characters>896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6</cp:revision>
  <cp:lastPrinted>2024-08-28T10:43:00Z</cp:lastPrinted>
  <dcterms:created xsi:type="dcterms:W3CDTF">2024-12-02T14:18:00Z</dcterms:created>
  <dcterms:modified xsi:type="dcterms:W3CDTF">2025-04-17T07:24:00Z</dcterms:modified>
</cp:coreProperties>
</file>