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2547" w14:textId="77777777" w:rsidR="00750F99" w:rsidRPr="00750F99" w:rsidRDefault="00750F99" w:rsidP="00750F99">
      <w:pPr>
        <w:widowControl w:val="0"/>
        <w:ind w:right="43"/>
        <w:jc w:val="center"/>
        <w:rPr>
          <w:rFonts w:ascii="Calibri" w:eastAsia="Calibri" w:hAnsi="Calibri"/>
          <w:noProof/>
          <w:sz w:val="22"/>
          <w:szCs w:val="22"/>
          <w:lang w:val="en-US" w:eastAsia="en-US"/>
        </w:rPr>
      </w:pPr>
      <w:r w:rsidRPr="00750F99">
        <w:rPr>
          <w:rFonts w:ascii="Calibri" w:eastAsia="Calibri" w:hAnsi="Calibri"/>
          <w:noProof/>
          <w:sz w:val="22"/>
          <w:szCs w:val="22"/>
        </w:rPr>
        <w:drawing>
          <wp:inline distT="0" distB="0" distL="0" distR="0" wp14:anchorId="4D185D45" wp14:editId="3ABEFBB4">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BB9F214" w14:textId="77777777" w:rsidR="00750F99" w:rsidRPr="00750F99" w:rsidRDefault="00750F99" w:rsidP="00750F99">
      <w:pPr>
        <w:widowControl w:val="0"/>
        <w:ind w:right="43"/>
        <w:jc w:val="center"/>
        <w:rPr>
          <w:rFonts w:eastAsia="Calibri"/>
          <w:noProof/>
          <w:sz w:val="36"/>
          <w:szCs w:val="22"/>
          <w:lang w:val="en-US" w:eastAsia="en-US"/>
        </w:rPr>
      </w:pPr>
      <w:r w:rsidRPr="00750F99">
        <w:rPr>
          <w:rFonts w:eastAsia="Calibri"/>
          <w:noProof/>
          <w:sz w:val="36"/>
          <w:szCs w:val="22"/>
          <w:lang w:val="en-US" w:eastAsia="en-US"/>
        </w:rPr>
        <w:t>OGRES  NOVADA  PAŠVALDĪBA</w:t>
      </w:r>
    </w:p>
    <w:p w14:paraId="6788C893" w14:textId="77777777" w:rsidR="00750F99" w:rsidRPr="00750F99" w:rsidRDefault="00750F99" w:rsidP="00750F99">
      <w:pPr>
        <w:widowControl w:val="0"/>
        <w:ind w:right="43"/>
        <w:jc w:val="center"/>
        <w:rPr>
          <w:rFonts w:eastAsia="Calibri"/>
          <w:noProof/>
          <w:sz w:val="18"/>
          <w:szCs w:val="22"/>
          <w:lang w:val="en-US" w:eastAsia="en-US"/>
        </w:rPr>
      </w:pPr>
      <w:r w:rsidRPr="00750F99">
        <w:rPr>
          <w:rFonts w:eastAsia="Calibri"/>
          <w:noProof/>
          <w:sz w:val="18"/>
          <w:szCs w:val="22"/>
          <w:lang w:val="en-US" w:eastAsia="en-US"/>
        </w:rPr>
        <w:t>Reģ.Nr.90000024455, Brīvības iela 33, Ogre, Ogres nov., LV-5001</w:t>
      </w:r>
    </w:p>
    <w:p w14:paraId="05838B0B" w14:textId="77777777" w:rsidR="00750F99" w:rsidRPr="00750F99" w:rsidRDefault="00750F99" w:rsidP="00750F99">
      <w:pPr>
        <w:widowControl w:val="0"/>
        <w:pBdr>
          <w:bottom w:val="single" w:sz="4" w:space="1" w:color="auto"/>
        </w:pBdr>
        <w:ind w:right="43"/>
        <w:jc w:val="center"/>
        <w:rPr>
          <w:rFonts w:eastAsia="Calibri"/>
          <w:noProof/>
          <w:sz w:val="18"/>
          <w:szCs w:val="22"/>
          <w:lang w:val="en-US" w:eastAsia="en-US"/>
        </w:rPr>
      </w:pPr>
      <w:r w:rsidRPr="00750F99">
        <w:rPr>
          <w:rFonts w:eastAsia="Calibri"/>
          <w:noProof/>
          <w:sz w:val="18"/>
          <w:szCs w:val="22"/>
          <w:lang w:val="en-US" w:eastAsia="en-US"/>
        </w:rPr>
        <w:t xml:space="preserve">tālrunis 65071160, </w:t>
      </w:r>
      <w:r w:rsidRPr="00750F99">
        <w:rPr>
          <w:rFonts w:eastAsia="Calibri"/>
          <w:sz w:val="18"/>
          <w:szCs w:val="22"/>
          <w:lang w:eastAsia="en-US"/>
        </w:rPr>
        <w:t xml:space="preserve">e-pasts: ogredome@ogresnovads.lv, www.ogresnovads.lv </w:t>
      </w:r>
    </w:p>
    <w:p w14:paraId="2279DE18" w14:textId="77777777" w:rsidR="00750F99" w:rsidRPr="005A660C" w:rsidRDefault="00750F99" w:rsidP="00750F99">
      <w:pPr>
        <w:widowControl w:val="0"/>
        <w:ind w:right="43"/>
        <w:rPr>
          <w:rFonts w:eastAsia="Calibri"/>
          <w:sz w:val="28"/>
          <w:szCs w:val="28"/>
          <w:lang w:val="en-US" w:eastAsia="en-US"/>
        </w:rPr>
      </w:pPr>
    </w:p>
    <w:p w14:paraId="359D086A" w14:textId="77777777" w:rsidR="007B5AE3" w:rsidRPr="001D393A" w:rsidRDefault="007B5AE3" w:rsidP="007B5AE3">
      <w:pPr>
        <w:jc w:val="center"/>
        <w:rPr>
          <w:sz w:val="32"/>
          <w:szCs w:val="32"/>
        </w:rPr>
      </w:pPr>
      <w:r w:rsidRPr="001D393A">
        <w:rPr>
          <w:sz w:val="28"/>
          <w:szCs w:val="28"/>
        </w:rPr>
        <w:t>PAŠVALDĪBAS DOMES SĒDES PROTOKOLA IZRAKSTS</w:t>
      </w:r>
    </w:p>
    <w:p w14:paraId="0A38DEAE" w14:textId="77777777" w:rsidR="00750F99" w:rsidRDefault="00750F99" w:rsidP="00750F99">
      <w:pPr>
        <w:widowControl w:val="0"/>
        <w:ind w:right="43"/>
        <w:rPr>
          <w:rFonts w:eastAsia="Calibri"/>
          <w:szCs w:val="32"/>
          <w:lang w:val="en-US" w:eastAsia="en-US"/>
        </w:rPr>
      </w:pPr>
    </w:p>
    <w:p w14:paraId="42C37D2C" w14:textId="77777777" w:rsidR="009B592C" w:rsidRDefault="009B592C" w:rsidP="00750F99">
      <w:pPr>
        <w:widowControl w:val="0"/>
        <w:ind w:right="43"/>
        <w:rPr>
          <w:rFonts w:eastAsia="Calibri"/>
          <w:szCs w:val="32"/>
          <w:lang w:val="en-US" w:eastAsia="en-US"/>
        </w:rPr>
      </w:pPr>
    </w:p>
    <w:tbl>
      <w:tblPr>
        <w:tblStyle w:val="Reatabula"/>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4"/>
        <w:gridCol w:w="2268"/>
        <w:gridCol w:w="2835"/>
      </w:tblGrid>
      <w:tr w:rsidR="009B592C" w:rsidRPr="00370674" w14:paraId="62D3EF90" w14:textId="77777777" w:rsidTr="009B592C">
        <w:trPr>
          <w:trHeight w:val="303"/>
        </w:trPr>
        <w:tc>
          <w:tcPr>
            <w:tcW w:w="3964" w:type="dxa"/>
            <w:shd w:val="clear" w:color="auto" w:fill="auto"/>
          </w:tcPr>
          <w:p w14:paraId="60A5D128" w14:textId="77777777" w:rsidR="009B592C" w:rsidRPr="00370674" w:rsidRDefault="009B592C" w:rsidP="009B592C">
            <w:pPr>
              <w:widowControl w:val="0"/>
              <w:ind w:right="43"/>
              <w:rPr>
                <w:rFonts w:eastAsia="Calibri"/>
                <w:szCs w:val="32"/>
                <w:lang w:eastAsia="en-US"/>
              </w:rPr>
            </w:pPr>
            <w:r w:rsidRPr="00370674">
              <w:rPr>
                <w:rFonts w:eastAsia="Calibri"/>
                <w:lang w:eastAsia="en-US"/>
              </w:rPr>
              <w:t>Ogrē, Brīvības ielā 33</w:t>
            </w:r>
          </w:p>
        </w:tc>
        <w:tc>
          <w:tcPr>
            <w:tcW w:w="2268" w:type="dxa"/>
            <w:shd w:val="clear" w:color="auto" w:fill="auto"/>
          </w:tcPr>
          <w:p w14:paraId="5455D302" w14:textId="6C99F4CA" w:rsidR="009B592C" w:rsidRPr="00370674" w:rsidRDefault="009B592C" w:rsidP="00027630">
            <w:pPr>
              <w:widowControl w:val="0"/>
              <w:ind w:right="43"/>
              <w:rPr>
                <w:rFonts w:eastAsia="Calibri"/>
                <w:szCs w:val="32"/>
                <w:lang w:eastAsia="en-US"/>
              </w:rPr>
            </w:pPr>
            <w:r w:rsidRPr="00370674">
              <w:rPr>
                <w:b/>
              </w:rPr>
              <w:t xml:space="preserve">   Nr.</w:t>
            </w:r>
            <w:r w:rsidR="00027630">
              <w:rPr>
                <w:b/>
              </w:rPr>
              <w:t>11</w:t>
            </w:r>
          </w:p>
        </w:tc>
        <w:tc>
          <w:tcPr>
            <w:tcW w:w="2835" w:type="dxa"/>
            <w:shd w:val="clear" w:color="auto" w:fill="auto"/>
          </w:tcPr>
          <w:p w14:paraId="7B8CC7A5" w14:textId="7327C5B4" w:rsidR="009B592C" w:rsidRPr="00370674" w:rsidRDefault="009B592C" w:rsidP="00027630">
            <w:pPr>
              <w:widowControl w:val="0"/>
              <w:ind w:right="43"/>
              <w:jc w:val="right"/>
              <w:rPr>
                <w:rFonts w:eastAsia="Calibri"/>
                <w:szCs w:val="32"/>
                <w:lang w:eastAsia="en-US"/>
              </w:rPr>
            </w:pPr>
            <w:r w:rsidRPr="00370674">
              <w:rPr>
                <w:rFonts w:eastAsia="Calibri"/>
                <w:lang w:eastAsia="en-US"/>
              </w:rPr>
              <w:t>202</w:t>
            </w:r>
            <w:r w:rsidR="00DF0DD6" w:rsidRPr="00370674">
              <w:rPr>
                <w:rFonts w:eastAsia="Calibri"/>
                <w:lang w:eastAsia="en-US"/>
              </w:rPr>
              <w:t>5</w:t>
            </w:r>
            <w:r w:rsidRPr="00370674">
              <w:rPr>
                <w:rFonts w:eastAsia="Calibri"/>
                <w:lang w:eastAsia="en-US"/>
              </w:rPr>
              <w:t>. gada</w:t>
            </w:r>
            <w:r w:rsidR="007B5AE3">
              <w:rPr>
                <w:rFonts w:eastAsia="Calibri"/>
                <w:lang w:eastAsia="en-US"/>
              </w:rPr>
              <w:t xml:space="preserve"> </w:t>
            </w:r>
            <w:r w:rsidR="00027630">
              <w:rPr>
                <w:rFonts w:eastAsia="Calibri"/>
                <w:lang w:eastAsia="en-US"/>
              </w:rPr>
              <w:t>26</w:t>
            </w:r>
            <w:r w:rsidR="00641781" w:rsidRPr="00370674">
              <w:rPr>
                <w:rFonts w:eastAsia="Calibri"/>
                <w:lang w:eastAsia="en-US"/>
              </w:rPr>
              <w:t xml:space="preserve">. </w:t>
            </w:r>
            <w:r w:rsidR="007B5AE3">
              <w:rPr>
                <w:rFonts w:eastAsia="Calibri"/>
                <w:lang w:eastAsia="en-US"/>
              </w:rPr>
              <w:t>jūnijā</w:t>
            </w:r>
          </w:p>
        </w:tc>
      </w:tr>
    </w:tbl>
    <w:p w14:paraId="779A536E" w14:textId="77777777" w:rsidR="00305DD9" w:rsidRDefault="00305DD9" w:rsidP="009B592C">
      <w:pPr>
        <w:pStyle w:val="Virsraksts2"/>
        <w:ind w:left="0" w:firstLine="0"/>
      </w:pPr>
      <w:bookmarkStart w:id="0" w:name="_Hlk80741847"/>
    </w:p>
    <w:p w14:paraId="767FA748" w14:textId="293E3B7C" w:rsidR="00F74F22" w:rsidRPr="005A660C" w:rsidRDefault="00027630" w:rsidP="005A660C">
      <w:pPr>
        <w:pStyle w:val="Virsraksts2"/>
        <w:jc w:val="center"/>
      </w:pPr>
      <w:r>
        <w:t>27</w:t>
      </w:r>
      <w:r w:rsidR="005A660C" w:rsidRPr="005A660C">
        <w:t>.</w:t>
      </w:r>
    </w:p>
    <w:p w14:paraId="1A416CF8" w14:textId="629E43BF" w:rsidR="00F74F22" w:rsidRPr="00F74F22" w:rsidRDefault="007F32CC" w:rsidP="00F74F22">
      <w:pPr>
        <w:pStyle w:val="Virsraksts2"/>
        <w:ind w:left="0" w:firstLine="0"/>
        <w:jc w:val="center"/>
        <w:rPr>
          <w:u w:val="single"/>
        </w:rPr>
      </w:pPr>
      <w:r>
        <w:rPr>
          <w:u w:val="single"/>
        </w:rPr>
        <w:t xml:space="preserve">Par </w:t>
      </w:r>
      <w:bookmarkStart w:id="1" w:name="_Hlk128729505"/>
      <w:r w:rsidR="007B5AE3">
        <w:rPr>
          <w:u w:val="single"/>
        </w:rPr>
        <w:t xml:space="preserve">Ogres novada pašvaldības </w:t>
      </w:r>
      <w:r w:rsidR="00E43F17">
        <w:rPr>
          <w:u w:val="single"/>
        </w:rPr>
        <w:t xml:space="preserve">saistošo noteikumu </w:t>
      </w:r>
      <w:r w:rsidR="007B5AE3">
        <w:rPr>
          <w:u w:val="single"/>
        </w:rPr>
        <w:t>Nr.</w:t>
      </w:r>
      <w:r w:rsidR="00027630">
        <w:rPr>
          <w:u w:val="single"/>
        </w:rPr>
        <w:t>22</w:t>
      </w:r>
      <w:r w:rsidR="007B5AE3">
        <w:rPr>
          <w:u w:val="single"/>
        </w:rPr>
        <w:t xml:space="preserve">/2025 </w:t>
      </w:r>
      <w:r w:rsidR="00DF0DD6">
        <w:rPr>
          <w:rFonts w:eastAsia="Calibri"/>
          <w:u w:val="single"/>
          <w:lang w:eastAsia="en-US"/>
        </w:rPr>
        <w:t>“</w:t>
      </w:r>
      <w:r w:rsidR="00480985" w:rsidRPr="00480985">
        <w:rPr>
          <w:rFonts w:eastAsia="Calibri"/>
          <w:u w:val="single"/>
          <w:lang w:eastAsia="en-US"/>
        </w:rPr>
        <w:t>Par ēdināšanas pabalstu”</w:t>
      </w:r>
      <w:bookmarkEnd w:id="1"/>
      <w:r>
        <w:rPr>
          <w:rFonts w:eastAsia="Calibri"/>
          <w:u w:val="single"/>
          <w:lang w:eastAsia="en-US"/>
        </w:rPr>
        <w:t xml:space="preserve"> </w:t>
      </w:r>
      <w:r w:rsidR="007B5AE3">
        <w:rPr>
          <w:u w:val="single"/>
        </w:rPr>
        <w:t>izdošanu</w:t>
      </w:r>
    </w:p>
    <w:bookmarkEnd w:id="0"/>
    <w:p w14:paraId="5AFE2AA7" w14:textId="77777777" w:rsidR="00F74F22" w:rsidRPr="00ED6AEF" w:rsidRDefault="00F74F22" w:rsidP="005A660C">
      <w:pPr>
        <w:jc w:val="both"/>
        <w:rPr>
          <w:rFonts w:eastAsia="Calibri"/>
        </w:rPr>
      </w:pPr>
    </w:p>
    <w:p w14:paraId="4ABA4E20" w14:textId="22CA9901" w:rsidR="00D135EC" w:rsidRDefault="00D135EC" w:rsidP="00D135EC">
      <w:pPr>
        <w:pStyle w:val="Bezatstarpm"/>
        <w:ind w:left="40" w:firstLine="680"/>
        <w:jc w:val="both"/>
      </w:pPr>
      <w:r>
        <w:t>2025. gada 4. aprīlī Ogres novada pašvaldībā (turpmāk – pašvaldība) saņemta Viedās administrācijas un reģionālās attīstības ministrijas (turpmāk – VARAM) vēstule (reģistr</w:t>
      </w:r>
      <w:r w:rsidR="00F605D5">
        <w:t>ācijas</w:t>
      </w:r>
      <w:r>
        <w:t xml:space="preserve">  Nr. 2-4.1/2176) par pašvaldības 2023. gada 25. maija saistošajiem noteikumiem Nr. 11/2023 “Par ēdināšanas pabalstu” (turpmāk – noteikumi Nr. 11/2023)</w:t>
      </w:r>
      <w:r w:rsidR="00DD2585">
        <w:t>.</w:t>
      </w:r>
      <w:r>
        <w:t xml:space="preserve"> VARAM</w:t>
      </w:r>
      <w:r w:rsidR="009207BD">
        <w:t xml:space="preserve"> vēstulē norādīts</w:t>
      </w:r>
      <w:r>
        <w:t>, ka, skatot</w:t>
      </w:r>
      <w:r w:rsidR="009207BD">
        <w:t xml:space="preserve"> noteikumu Nr. 11/2023</w:t>
      </w:r>
      <w:r>
        <w:t xml:space="preserve"> </w:t>
      </w:r>
      <w:r w:rsidR="009207BD">
        <w:t>5.1. un 6.3. apakšpunktus</w:t>
      </w:r>
      <w:r>
        <w:t xml:space="preserve"> kontekstā ar Bērnu tiesību aizsardzības likuma 1. panta 16. punkt</w:t>
      </w:r>
      <w:r w:rsidR="00B8429D">
        <w:t>u</w:t>
      </w:r>
      <w:r>
        <w:t xml:space="preserve">, </w:t>
      </w:r>
      <w:r w:rsidR="00B8429D">
        <w:t>kas noteic</w:t>
      </w:r>
      <w:r w:rsidRPr="002975B5">
        <w:t>, ka</w:t>
      </w:r>
      <w:r>
        <w:t xml:space="preserve"> </w:t>
      </w:r>
      <w:r w:rsidRPr="002975B5">
        <w:rPr>
          <w:i/>
          <w:iCs/>
        </w:rPr>
        <w:t>daudzbērn</w:t>
      </w:r>
      <w:r w:rsidR="008B57E6">
        <w:rPr>
          <w:i/>
          <w:iCs/>
        </w:rPr>
        <w:t>u ģimene ir ģimene, kuras aprūpē ir</w:t>
      </w:r>
      <w:r w:rsidRPr="002975B5">
        <w:rPr>
          <w:i/>
          <w:iCs/>
        </w:rPr>
        <w:t xml:space="preserve"> vismaz trīs bērni, to skaitā audžuģimenē ievietoti un aizbildnībā esoši bērni. Par daudzbērnu ģimenes bērnu uzskatāma arī pilngadīga persona, kas nav sasniegusi 24 gadu vecumu, ja tā iegūst vispārējo, profesionālo vai augstāko izglītību vai 11 mēnešus pilda valsts aizsardzības dienestu</w:t>
      </w:r>
      <w:r w:rsidR="008B57E6">
        <w:rPr>
          <w:i/>
          <w:iCs/>
        </w:rPr>
        <w:t>,</w:t>
      </w:r>
      <w:r>
        <w:t xml:space="preserve"> un ar pašvaldības noteiktajiem kritērijiem ēdināšanas pabalsta saņemšanai, secināms, ka ir ticis sašaurināts Bērnu tiesību aizsardzības likumā lietotā termina</w:t>
      </w:r>
      <w:r w:rsidR="00B8429D">
        <w:t xml:space="preserve"> daudzbērnu ģimene</w:t>
      </w:r>
      <w:r>
        <w:t xml:space="preserve"> tvērums. </w:t>
      </w:r>
    </w:p>
    <w:p w14:paraId="3E4AE61F" w14:textId="302CC120" w:rsidR="007D2DF8" w:rsidRDefault="007F32CC" w:rsidP="001C29EB">
      <w:pPr>
        <w:pStyle w:val="Bezatstarpm"/>
        <w:jc w:val="both"/>
      </w:pPr>
      <w:r>
        <w:tab/>
      </w:r>
      <w:r w:rsidR="00814CED">
        <w:t xml:space="preserve">Savukārt </w:t>
      </w:r>
      <w:r w:rsidR="00CF6F1E">
        <w:t>Ministru kabineta</w:t>
      </w:r>
      <w:r>
        <w:t xml:space="preserve"> </w:t>
      </w:r>
      <w:r w:rsidR="00F605D5">
        <w:t xml:space="preserve">2005. gada 15. novembra </w:t>
      </w:r>
      <w:r>
        <w:t>noteikum</w:t>
      </w:r>
      <w:r w:rsidR="00CF6F1E">
        <w:t>u</w:t>
      </w:r>
      <w:r>
        <w:t xml:space="preserve"> Nr.</w:t>
      </w:r>
      <w:r w:rsidR="00CF6F1E">
        <w:t xml:space="preserve"> </w:t>
      </w:r>
      <w:r>
        <w:t>857 “Noteikumi par sociālajām garantijām un atbalstu bārenim un bez vecāku gādības palikušajam bērnam, kurš ir ārpusģimenes aprūpē, kā arī pēc ārpusģimenes aprūpes beigšanās”</w:t>
      </w:r>
      <w:r w:rsidR="009207BD">
        <w:t xml:space="preserve"> (turpmāk – noteikumi Nr. </w:t>
      </w:r>
      <w:r w:rsidR="00D135EC">
        <w:t>857)</w:t>
      </w:r>
      <w:r>
        <w:t xml:space="preserve"> 6. punkts no</w:t>
      </w:r>
      <w:r w:rsidR="00F605D5">
        <w:t>teic</w:t>
      </w:r>
      <w:r w:rsidR="00BE3A12">
        <w:t xml:space="preserve"> pienākumu pašvaldībai, kuras bāriņtiesa pieņēmusi lēmumu par bērna ārpusģimenes aprūpi, segt ar bērna izglītošanu un uzturēšanos izglītības iestādē saistītos izdevumus. Proti, pilnībā segt ārpusģimen</w:t>
      </w:r>
      <w:r w:rsidR="00DD2585">
        <w:t>es aprūpē</w:t>
      </w:r>
      <w:r w:rsidR="00BE3A12">
        <w:t xml:space="preserve"> esošo bērnu ēdināšanas izmaksas izglītības iestādēs</w:t>
      </w:r>
      <w:r w:rsidR="00CF6F1E">
        <w:t>.</w:t>
      </w:r>
      <w:r w:rsidR="00BE3A12">
        <w:t xml:space="preserve"> </w:t>
      </w:r>
      <w:r w:rsidR="00CF6F1E">
        <w:t>L</w:t>
      </w:r>
      <w:r w:rsidR="00BE3A12">
        <w:t>īdz ar to ir nepieciešams</w:t>
      </w:r>
      <w:r w:rsidR="00814CED">
        <w:t xml:space="preserve"> </w:t>
      </w:r>
      <w:r w:rsidR="00814CED" w:rsidRPr="00D17523">
        <w:t xml:space="preserve">precizēt </w:t>
      </w:r>
      <w:r w:rsidR="00D17523">
        <w:t>noteikumu Nr. 11/2023 5. punktu</w:t>
      </w:r>
      <w:r w:rsidR="00814CED">
        <w:t xml:space="preserve"> un</w:t>
      </w:r>
      <w:r w:rsidR="00BE3A12">
        <w:t xml:space="preserve"> </w:t>
      </w:r>
      <w:r w:rsidR="00DD2585">
        <w:t>ārpusģimenes aprūpē esošiem bērniem</w:t>
      </w:r>
      <w:r w:rsidR="00BE3A12">
        <w:t xml:space="preserve"> paredzēt </w:t>
      </w:r>
      <w:r w:rsidR="00814CED">
        <w:t xml:space="preserve">ēdināšanas </w:t>
      </w:r>
      <w:r w:rsidR="00BE3A12">
        <w:t>pabalstu 100 procentu apmērā</w:t>
      </w:r>
      <w:r w:rsidR="00814CED">
        <w:t xml:space="preserve"> pirmsskolas izglītības iestādē</w:t>
      </w:r>
      <w:r w:rsidR="00BE3A12">
        <w:t xml:space="preserve"> no noteiktās ēdināšanas maksas, ņemot vērā, ka šādu pienākumu nosaka augstāka </w:t>
      </w:r>
      <w:r w:rsidR="00DD2585">
        <w:t xml:space="preserve">juridiska </w:t>
      </w:r>
      <w:r w:rsidR="00BE3A12">
        <w:t>spēka normatīvais akts.</w:t>
      </w:r>
      <w:r w:rsidR="009C26AC">
        <w:t xml:space="preserve"> </w:t>
      </w:r>
      <w:r w:rsidR="00D135EC">
        <w:t>Noteikumu Nr. 8</w:t>
      </w:r>
      <w:r w:rsidR="00DD2585">
        <w:t>57</w:t>
      </w:r>
      <w:r w:rsidR="00D135EC">
        <w:t xml:space="preserve"> 6. punkta tvērums ļauj piešķirt ēdināšanas pabalstu arī ārpusģimenes aprūpē esošam izglītojamajam, kurš apgūst kādu no profesionālās izglītības programmām, paredzot pabalstu 60,00 </w:t>
      </w:r>
      <w:r w:rsidR="00D135EC" w:rsidRPr="00C72A32">
        <w:rPr>
          <w:i/>
          <w:iCs/>
        </w:rPr>
        <w:t>euro</w:t>
      </w:r>
      <w:r w:rsidR="00D135EC">
        <w:t xml:space="preserve"> mēnesī mācību gad</w:t>
      </w:r>
      <w:r w:rsidR="00DD2585">
        <w:t>a laikā</w:t>
      </w:r>
      <w:r w:rsidR="00D135EC">
        <w:t>.</w:t>
      </w:r>
    </w:p>
    <w:p w14:paraId="190CED00" w14:textId="6F5B6A87" w:rsidR="00D135EC" w:rsidRDefault="00D135EC" w:rsidP="007D2DF8">
      <w:pPr>
        <w:pStyle w:val="Bezatstarpm"/>
        <w:ind w:firstLine="709"/>
        <w:jc w:val="both"/>
      </w:pPr>
      <w:r>
        <w:t>Papildus</w:t>
      </w:r>
      <w:r w:rsidR="00F24460">
        <w:t>, ņemot vērā pašvaldības apstiprināto ēdināšanas maksu, dotācijas un vidējo mācību dienu skaitu mēnesī,</w:t>
      </w:r>
      <w:r>
        <w:t xml:space="preserve"> </w:t>
      </w:r>
      <w:r w:rsidR="00F24460">
        <w:t>j</w:t>
      </w:r>
      <w:r w:rsidR="00F24460" w:rsidRPr="00F24460">
        <w:t>ā</w:t>
      </w:r>
      <w:r w:rsidRPr="00F24460">
        <w:t>paaugstin</w:t>
      </w:r>
      <w:r w:rsidR="00F24460" w:rsidRPr="00F24460">
        <w:t>a</w:t>
      </w:r>
      <w:r>
        <w:t xml:space="preserve"> pabalsta apmēru daudzbērnu ģimenes bērniem, kuri apgūst izglītību ārpus </w:t>
      </w:r>
      <w:r w:rsidR="004F2AFA">
        <w:t xml:space="preserve">Ogres </w:t>
      </w:r>
      <w:r>
        <w:t>novada</w:t>
      </w:r>
      <w:r w:rsidR="004F2AFA">
        <w:t xml:space="preserve"> administratīvās teritorijas</w:t>
      </w:r>
      <w:r>
        <w:t xml:space="preserve"> no 30,00 </w:t>
      </w:r>
      <w:r w:rsidRPr="00DB2A10">
        <w:rPr>
          <w:i/>
          <w:iCs/>
        </w:rPr>
        <w:t>euro</w:t>
      </w:r>
      <w:r>
        <w:t xml:space="preserve"> mēnesī uz 60,00</w:t>
      </w:r>
      <w:r w:rsidR="001B4B8E">
        <w:t> </w:t>
      </w:r>
      <w:r w:rsidRPr="00DB2A10">
        <w:rPr>
          <w:i/>
          <w:iCs/>
        </w:rPr>
        <w:t>euro</w:t>
      </w:r>
      <w:r w:rsidR="00845232">
        <w:t xml:space="preserve"> mēnesī mācību gada laikā</w:t>
      </w:r>
      <w:r>
        <w:t xml:space="preserve">. </w:t>
      </w:r>
    </w:p>
    <w:p w14:paraId="7709385E" w14:textId="27202ED6" w:rsidR="00E40FED" w:rsidRDefault="009207BD" w:rsidP="009207BD">
      <w:pPr>
        <w:ind w:firstLine="720"/>
        <w:jc w:val="both"/>
        <w:rPr>
          <w:shd w:val="clear" w:color="auto" w:fill="FFFFFF"/>
        </w:rPr>
      </w:pPr>
      <w:r>
        <w:rPr>
          <w:shd w:val="clear" w:color="auto" w:fill="FFFFFF"/>
        </w:rPr>
        <w:t>Pārskatot</w:t>
      </w:r>
      <w:r w:rsidR="00E40FED">
        <w:rPr>
          <w:shd w:val="clear" w:color="auto" w:fill="FFFFFF"/>
        </w:rPr>
        <w:t xml:space="preserve"> noteikumus</w:t>
      </w:r>
      <w:r>
        <w:rPr>
          <w:shd w:val="clear" w:color="auto" w:fill="FFFFFF"/>
        </w:rPr>
        <w:t xml:space="preserve"> Nr. </w:t>
      </w:r>
      <w:r w:rsidR="00814CED">
        <w:rPr>
          <w:shd w:val="clear" w:color="auto" w:fill="FFFFFF"/>
        </w:rPr>
        <w:t>11/2023</w:t>
      </w:r>
      <w:r w:rsidR="001A1736">
        <w:rPr>
          <w:shd w:val="clear" w:color="auto" w:fill="FFFFFF"/>
        </w:rPr>
        <w:t>,</w:t>
      </w:r>
      <w:r w:rsidR="00E40FED">
        <w:rPr>
          <w:shd w:val="clear" w:color="auto" w:fill="FFFFFF"/>
        </w:rPr>
        <w:t xml:space="preserve"> tika konstatēta </w:t>
      </w:r>
      <w:r w:rsidR="00E40FED" w:rsidRPr="004E7FC5">
        <w:rPr>
          <w:shd w:val="clear" w:color="auto" w:fill="FFFFFF"/>
        </w:rPr>
        <w:t>nepieciešam</w:t>
      </w:r>
      <w:r w:rsidR="00E40FED">
        <w:rPr>
          <w:shd w:val="clear" w:color="auto" w:fill="FFFFFF"/>
        </w:rPr>
        <w:t>ība</w:t>
      </w:r>
      <w:r w:rsidR="00E40FED" w:rsidRPr="004E7FC5">
        <w:rPr>
          <w:shd w:val="clear" w:color="auto" w:fill="FFFFFF"/>
        </w:rPr>
        <w:t xml:space="preserve"> </w:t>
      </w:r>
      <w:r>
        <w:rPr>
          <w:shd w:val="clear" w:color="auto" w:fill="FFFFFF"/>
        </w:rPr>
        <w:t xml:space="preserve">tajos </w:t>
      </w:r>
      <w:r w:rsidR="00E40FED">
        <w:rPr>
          <w:shd w:val="clear" w:color="auto" w:fill="FFFFFF"/>
        </w:rPr>
        <w:t>izdarīt</w:t>
      </w:r>
      <w:r>
        <w:rPr>
          <w:shd w:val="clear" w:color="auto" w:fill="FFFFFF"/>
        </w:rPr>
        <w:t xml:space="preserve"> arī</w:t>
      </w:r>
      <w:r w:rsidR="00E40FED" w:rsidRPr="004E7FC5">
        <w:rPr>
          <w:shd w:val="clear" w:color="auto" w:fill="FFFFFF"/>
        </w:rPr>
        <w:t xml:space="preserve"> redakcionālus labojumus</w:t>
      </w:r>
      <w:r w:rsidR="00DD2585">
        <w:rPr>
          <w:shd w:val="clear" w:color="auto" w:fill="FFFFFF"/>
        </w:rPr>
        <w:t>.</w:t>
      </w:r>
    </w:p>
    <w:p w14:paraId="67380699" w14:textId="7040A3E2" w:rsidR="003B6CBC" w:rsidRPr="00CC717A" w:rsidRDefault="00CC717A" w:rsidP="00CC717A">
      <w:pPr>
        <w:ind w:firstLine="720"/>
        <w:jc w:val="both"/>
        <w:rPr>
          <w:shd w:val="clear" w:color="auto" w:fill="FFFFFF"/>
        </w:rPr>
      </w:pPr>
      <w:r>
        <w:rPr>
          <w:shd w:val="clear" w:color="auto" w:fill="FFFFFF"/>
        </w:rPr>
        <w:t>2009. gada 3. februāra Ministru kabineta noteikumu Nr. 108 “Normatīvo aktu projektu sagatavošanas noteikumi” 140. punkt</w:t>
      </w:r>
      <w:r w:rsidR="009207BD">
        <w:rPr>
          <w:shd w:val="clear" w:color="auto" w:fill="FFFFFF"/>
        </w:rPr>
        <w:t>s noteic, k</w:t>
      </w:r>
      <w:r w:rsidR="00DD2585">
        <w:rPr>
          <w:shd w:val="clear" w:color="auto" w:fill="FFFFFF"/>
        </w:rPr>
        <w:t>a</w:t>
      </w:r>
      <w:r>
        <w:rPr>
          <w:shd w:val="clear" w:color="auto" w:fill="FFFFFF"/>
        </w:rPr>
        <w:t xml:space="preserve"> grozījumu noteikumu projektu nesagatavo, ja tā normu apjoms pārsniegtu pusi no spēkā esošo noteikumu normu apjoma.</w:t>
      </w:r>
      <w:bookmarkStart w:id="2" w:name="_Hlk133415809"/>
      <w:r w:rsidR="009207BD">
        <w:rPr>
          <w:shd w:val="clear" w:color="auto" w:fill="FFFFFF"/>
        </w:rPr>
        <w:t xml:space="preserve"> Līdz ar to ir sagatavo</w:t>
      </w:r>
      <w:r w:rsidR="001F5BFF">
        <w:rPr>
          <w:shd w:val="clear" w:color="auto" w:fill="FFFFFF"/>
        </w:rPr>
        <w:t>jams</w:t>
      </w:r>
      <w:r w:rsidR="009207BD">
        <w:rPr>
          <w:shd w:val="clear" w:color="auto" w:fill="FFFFFF"/>
        </w:rPr>
        <w:t xml:space="preserve"> jauns saistošo noteikumu projekts. </w:t>
      </w:r>
    </w:p>
    <w:p w14:paraId="4FA5D1E1" w14:textId="02AF2884" w:rsidR="001F5BFF" w:rsidRPr="006E1EBB" w:rsidRDefault="001F5BFF" w:rsidP="001F5BFF">
      <w:pPr>
        <w:pStyle w:val="Bezatstarpm"/>
        <w:ind w:firstLine="720"/>
        <w:jc w:val="both"/>
        <w:rPr>
          <w:color w:val="000000" w:themeColor="text1"/>
        </w:rPr>
      </w:pPr>
      <w:r w:rsidRPr="006E1EBB">
        <w:rPr>
          <w:color w:val="000000" w:themeColor="text1"/>
        </w:rPr>
        <w:lastRenderedPageBreak/>
        <w:t>Pamatojoties uz Pašvaldību likuma 44.</w:t>
      </w:r>
      <w:r>
        <w:rPr>
          <w:color w:val="000000" w:themeColor="text1"/>
        </w:rPr>
        <w:t xml:space="preserve"> </w:t>
      </w:r>
      <w:r w:rsidRPr="006E1EBB">
        <w:rPr>
          <w:color w:val="000000" w:themeColor="text1"/>
        </w:rPr>
        <w:t>panta otro daļ</w:t>
      </w:r>
      <w:r>
        <w:rPr>
          <w:color w:val="000000" w:themeColor="text1"/>
        </w:rPr>
        <w:t>u</w:t>
      </w:r>
      <w:r w:rsidRPr="006E1EBB">
        <w:rPr>
          <w:color w:val="000000" w:themeColor="text1"/>
        </w:rPr>
        <w:t>, kas n</w:t>
      </w:r>
      <w:r w:rsidR="001054D3">
        <w:rPr>
          <w:color w:val="000000" w:themeColor="text1"/>
        </w:rPr>
        <w:t>oteic</w:t>
      </w:r>
      <w:r w:rsidRPr="006E1EBB">
        <w:rPr>
          <w:color w:val="000000" w:themeColor="text1"/>
        </w:rPr>
        <w:t xml:space="preserve">, ka </w:t>
      </w:r>
      <w:r w:rsidRPr="006E1EBB">
        <w:rPr>
          <w:iCs/>
          <w:color w:val="000000" w:themeColor="text1"/>
        </w:rPr>
        <w:t>dome var izdot saistošos noteikumus, lai nodrošinātu pašvaldības autonomo funkciju un brīvprātīgo iniciatīvu izpildi, ir sagatavots saistošo noteikumu “Par ēdināšanas pabalstu” projekts</w:t>
      </w:r>
      <w:r w:rsidR="00845232">
        <w:rPr>
          <w:iCs/>
          <w:color w:val="000000" w:themeColor="text1"/>
        </w:rPr>
        <w:t xml:space="preserve"> un paskaidrojuma raksts</w:t>
      </w:r>
      <w:r w:rsidR="001054D3">
        <w:rPr>
          <w:iCs/>
          <w:color w:val="000000" w:themeColor="text1"/>
        </w:rPr>
        <w:t>.</w:t>
      </w:r>
    </w:p>
    <w:bookmarkEnd w:id="2"/>
    <w:p w14:paraId="6630D268" w14:textId="54C367E6" w:rsidR="00333CAA" w:rsidRDefault="00333CAA" w:rsidP="005A660C">
      <w:pPr>
        <w:ind w:firstLine="720"/>
        <w:jc w:val="both"/>
        <w:rPr>
          <w:color w:val="000000" w:themeColor="text1"/>
        </w:rPr>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shd w:val="clear" w:color="auto" w:fill="FFFFFF"/>
        </w:rPr>
        <w:t xml:space="preserve"> </w:t>
      </w:r>
      <w:r>
        <w:rPr>
          <w:color w:val="000000" w:themeColor="text1"/>
        </w:rPr>
        <w:t xml:space="preserve">Viedokļus un priekšlikumus par saistošo noteikumu projektu rakstveidā varēja iesniegt līdz 2025. gada 6. maijam. </w:t>
      </w:r>
      <w:r w:rsidRPr="009A223B">
        <w:rPr>
          <w:color w:val="000000" w:themeColor="text1"/>
        </w:rPr>
        <w:t>Noteiktajā termiņā viedokļi netika saņemti.</w:t>
      </w:r>
    </w:p>
    <w:p w14:paraId="7C6B39AE" w14:textId="4B6763F9" w:rsidR="00F74F22" w:rsidRDefault="00F74F22" w:rsidP="005A660C">
      <w:pPr>
        <w:ind w:firstLine="720"/>
        <w:jc w:val="both"/>
        <w:rPr>
          <w:color w:val="000000"/>
          <w:shd w:val="clear" w:color="auto" w:fill="FFFFFF"/>
        </w:rPr>
      </w:pPr>
      <w:r>
        <w:rPr>
          <w:color w:val="000000"/>
          <w:shd w:val="clear" w:color="auto" w:fill="FFFFFF"/>
        </w:rPr>
        <w:t>Ņemot vērā minēto un saskaņā ar Pašvaldību likuma 4</w:t>
      </w:r>
      <w:r w:rsidR="00F605D5">
        <w:rPr>
          <w:color w:val="000000"/>
          <w:shd w:val="clear" w:color="auto" w:fill="FFFFFF"/>
        </w:rPr>
        <w:t>7</w:t>
      </w:r>
      <w:r>
        <w:rPr>
          <w:color w:val="000000"/>
          <w:shd w:val="clear" w:color="auto" w:fill="FFFFFF"/>
        </w:rPr>
        <w:t>. panta</w:t>
      </w:r>
      <w:r w:rsidR="00F605D5">
        <w:rPr>
          <w:color w:val="000000"/>
          <w:shd w:val="clear" w:color="auto" w:fill="FFFFFF"/>
        </w:rPr>
        <w:t xml:space="preserve"> otro un astoto</w:t>
      </w:r>
      <w:r>
        <w:rPr>
          <w:color w:val="000000"/>
          <w:shd w:val="clear" w:color="auto" w:fill="FFFFFF"/>
        </w:rPr>
        <w:t xml:space="preserve"> daļu,</w:t>
      </w:r>
    </w:p>
    <w:p w14:paraId="3890BD06" w14:textId="77777777" w:rsidR="00EC5341" w:rsidRDefault="00EC5341" w:rsidP="005A660C">
      <w:pPr>
        <w:pBdr>
          <w:top w:val="nil"/>
          <w:left w:val="nil"/>
          <w:bottom w:val="nil"/>
          <w:right w:val="nil"/>
          <w:between w:val="nil"/>
        </w:pBdr>
        <w:jc w:val="both"/>
        <w:rPr>
          <w:color w:val="000000"/>
        </w:rPr>
      </w:pPr>
    </w:p>
    <w:p w14:paraId="1308C246" w14:textId="2D9F5361" w:rsidR="007B5AE3" w:rsidRPr="00027630" w:rsidRDefault="00027630" w:rsidP="00027630">
      <w:pPr>
        <w:jc w:val="center"/>
        <w:rPr>
          <w:b/>
        </w:rPr>
      </w:pPr>
      <w:r>
        <w:rPr>
          <w:b/>
        </w:rPr>
        <w:t xml:space="preserve">balsojot: </w:t>
      </w:r>
      <w:r w:rsidRPr="00CB2D18">
        <w:rPr>
          <w:b/>
          <w:noProof/>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007B5AE3" w:rsidRPr="00F437D8">
        <w:t xml:space="preserve">, </w:t>
      </w:r>
    </w:p>
    <w:p w14:paraId="5211B16C" w14:textId="77777777" w:rsidR="007B5AE3" w:rsidRPr="00F437D8" w:rsidRDefault="007B5AE3" w:rsidP="007B5AE3">
      <w:pPr>
        <w:ind w:firstLine="375"/>
        <w:jc w:val="center"/>
      </w:pPr>
      <w:r w:rsidRPr="00F437D8">
        <w:t>Ogres novada pašvaldības dome</w:t>
      </w:r>
      <w:r w:rsidRPr="00F437D8">
        <w:rPr>
          <w:b/>
        </w:rPr>
        <w:t xml:space="preserve"> NOLEMJ:</w:t>
      </w:r>
    </w:p>
    <w:p w14:paraId="2DE8C0BE" w14:textId="61C3B4CF" w:rsidR="00EC5341" w:rsidRDefault="003B6CBC" w:rsidP="007B5AE3">
      <w:pPr>
        <w:jc w:val="center"/>
      </w:pPr>
      <w:r w:rsidRPr="00F437D8">
        <w:t xml:space="preserve"> </w:t>
      </w:r>
    </w:p>
    <w:p w14:paraId="3BACEB64" w14:textId="703C0073" w:rsidR="00E265F9" w:rsidRPr="00E500D2" w:rsidRDefault="007B5AE3" w:rsidP="00E265F9">
      <w:pPr>
        <w:pStyle w:val="Sarakstarindkopa"/>
        <w:numPr>
          <w:ilvl w:val="0"/>
          <w:numId w:val="4"/>
        </w:numPr>
        <w:ind w:left="284" w:hanging="284"/>
        <w:jc w:val="both"/>
      </w:pPr>
      <w:bookmarkStart w:id="3" w:name="_heading=h.gjdgxs" w:colFirst="0" w:colLast="0"/>
      <w:bookmarkEnd w:id="3"/>
      <w:r>
        <w:rPr>
          <w:b/>
          <w:bCs/>
        </w:rPr>
        <w:t>Izdot</w:t>
      </w:r>
      <w:r w:rsidRPr="00CA3E98">
        <w:rPr>
          <w:b/>
          <w:bCs/>
        </w:rPr>
        <w:t xml:space="preserve"> </w:t>
      </w:r>
      <w:r w:rsidRPr="00CA3E98">
        <w:rPr>
          <w:bCs/>
        </w:rPr>
        <w:t xml:space="preserve">Ogres novada pašvaldības </w:t>
      </w:r>
      <w:r>
        <w:t>saistošos noteikumus</w:t>
      </w:r>
      <w:r w:rsidR="00F605D5">
        <w:t xml:space="preserve"> Nr.</w:t>
      </w:r>
      <w:r w:rsidR="00027630">
        <w:t>22</w:t>
      </w:r>
      <w:r w:rsidR="00F605D5">
        <w:t xml:space="preserve">/2025 </w:t>
      </w:r>
      <w:bookmarkStart w:id="4" w:name="_GoBack"/>
      <w:bookmarkEnd w:id="4"/>
      <w:r w:rsidR="00CB0C06" w:rsidRPr="00CB0C06">
        <w:rPr>
          <w:rFonts w:eastAsia="Calibri"/>
          <w:bCs/>
          <w:lang w:eastAsia="en-US"/>
        </w:rPr>
        <w:t>“Par ēdināšanas pabalstu”</w:t>
      </w:r>
      <w:r w:rsidR="00E265F9" w:rsidRPr="00E500D2">
        <w:t xml:space="preserve"> </w:t>
      </w:r>
      <w:r w:rsidR="001B4B8E">
        <w:t>(</w:t>
      </w:r>
      <w:r w:rsidR="00E265F9" w:rsidRPr="00E500D2">
        <w:t>turpmāk – Noteikumi</w:t>
      </w:r>
      <w:r w:rsidR="001B4B8E">
        <w:t>)</w:t>
      </w:r>
      <w:r w:rsidR="00E265F9" w:rsidRPr="00E500D2">
        <w:t>, (pielikumā).</w:t>
      </w:r>
    </w:p>
    <w:p w14:paraId="73CF1D7D" w14:textId="1A37AFCD" w:rsidR="00E265F9" w:rsidRPr="00E500D2" w:rsidRDefault="00E265F9" w:rsidP="00E265F9">
      <w:pPr>
        <w:pStyle w:val="Sarakstarindkopa"/>
        <w:numPr>
          <w:ilvl w:val="0"/>
          <w:numId w:val="4"/>
        </w:numPr>
        <w:ind w:left="284" w:hanging="284"/>
        <w:jc w:val="both"/>
      </w:pPr>
      <w:r w:rsidRPr="00E500D2">
        <w:rPr>
          <w:color w:val="000000"/>
        </w:rPr>
        <w:t xml:space="preserve">Uzdot Ogres novada pašvaldības Centrālās administrācijas Juridiskajai nodaļai triju darbdienu laikā pēc Noteikumu parakstīšanas rakstveidā nosūtīt tos un </w:t>
      </w:r>
      <w:r w:rsidRPr="00087369">
        <w:rPr>
          <w:color w:val="000000"/>
        </w:rPr>
        <w:t>paskaidrojuma r</w:t>
      </w:r>
      <w:r w:rsidRPr="00E500D2">
        <w:rPr>
          <w:color w:val="000000"/>
        </w:rPr>
        <w:t>akstu Viedās administrācijas un reģionālās attīstības ministrijai (turpmāk – VARAM)</w:t>
      </w:r>
      <w:r>
        <w:rPr>
          <w:color w:val="000000"/>
        </w:rPr>
        <w:t xml:space="preserve"> </w:t>
      </w:r>
      <w:r w:rsidRPr="00E500D2">
        <w:rPr>
          <w:color w:val="000000"/>
        </w:rPr>
        <w:t>atzinuma sniegšanai.</w:t>
      </w:r>
    </w:p>
    <w:p w14:paraId="6BAB2D28" w14:textId="00A1905D" w:rsidR="00E265F9" w:rsidRPr="00E500D2" w:rsidRDefault="00E265F9" w:rsidP="00E265F9">
      <w:pPr>
        <w:pStyle w:val="Sarakstarindkopa"/>
        <w:numPr>
          <w:ilvl w:val="0"/>
          <w:numId w:val="4"/>
        </w:numPr>
        <w:ind w:left="284" w:hanging="284"/>
        <w:jc w:val="both"/>
      </w:pPr>
      <w:r w:rsidRPr="00E500D2">
        <w:rPr>
          <w:color w:val="000000"/>
        </w:rPr>
        <w:t>Uzdot Ogres novada pašvaldības Centrālās administrācijas Juridiskajai nodaļai pēc pozitīva VARAM</w:t>
      </w:r>
      <w:r>
        <w:rPr>
          <w:color w:val="000000"/>
        </w:rPr>
        <w:t xml:space="preserve"> </w:t>
      </w:r>
      <w:r w:rsidRPr="00E500D2">
        <w:rPr>
          <w:color w:val="000000"/>
        </w:rPr>
        <w:t>atzinum</w:t>
      </w:r>
      <w:r>
        <w:rPr>
          <w:color w:val="000000"/>
        </w:rPr>
        <w:t>a</w:t>
      </w:r>
      <w:r w:rsidRPr="00E500D2">
        <w:rPr>
          <w:color w:val="000000"/>
        </w:rPr>
        <w:t xml:space="preserve"> saņemšanas nodrošināt Noteikumu publicēšanu oficiālajā izdevumā “Latvijas Vēstnesis”.</w:t>
      </w:r>
    </w:p>
    <w:p w14:paraId="20F05557" w14:textId="77777777" w:rsidR="00E265F9" w:rsidRPr="00E500D2" w:rsidRDefault="00E265F9" w:rsidP="00E265F9">
      <w:pPr>
        <w:pStyle w:val="Sarakstarindkopa"/>
        <w:numPr>
          <w:ilvl w:val="0"/>
          <w:numId w:val="4"/>
        </w:numPr>
        <w:ind w:left="284" w:hanging="284"/>
        <w:jc w:val="both"/>
      </w:pPr>
      <w:r w:rsidRPr="00E500D2">
        <w:t>Uzdot Ogres novada pašvaldības Centrālās administrācijas Komunikācijas nodaļai pēc Noteikumu spēkā stāšanās publicēt Noteikumus Ogres novada pašvaldības oficiālajā tīmekļvietnē.</w:t>
      </w:r>
    </w:p>
    <w:p w14:paraId="3F069D2F" w14:textId="77777777" w:rsidR="00E265F9" w:rsidRPr="00E500D2" w:rsidRDefault="00E265F9" w:rsidP="00E265F9">
      <w:pPr>
        <w:pStyle w:val="Sarakstarindkopa"/>
        <w:numPr>
          <w:ilvl w:val="0"/>
          <w:numId w:val="4"/>
        </w:numPr>
        <w:ind w:left="284" w:hanging="284"/>
        <w:jc w:val="both"/>
      </w:pPr>
      <w:r w:rsidRPr="00E500D2">
        <w:t>Uzdot Ogres novada pašvaldības Centrālās administrācijas Kancelejai pēc Noteikumu spēkā stāšanās nodrošināt Noteikumu brīvu pieeju Ogres novada pašvaldības ēkā.</w:t>
      </w:r>
    </w:p>
    <w:p w14:paraId="7BC8DED9" w14:textId="77777777" w:rsidR="00E265F9" w:rsidRPr="00E500D2" w:rsidRDefault="00E265F9" w:rsidP="00E265F9">
      <w:pPr>
        <w:pStyle w:val="Sarakstarindkopa"/>
        <w:numPr>
          <w:ilvl w:val="0"/>
          <w:numId w:val="4"/>
        </w:numPr>
        <w:ind w:left="284" w:hanging="284"/>
        <w:jc w:val="both"/>
      </w:pPr>
      <w:r w:rsidRPr="00E500D2">
        <w:t>Uzdot Ogres novada pašvaldības pilsētu un pagastu pārvalžu vadītājiem pēc Noteikumu spēkā stāšanās nodrošināt Noteikumu brīvu pieeju pašvaldības pilsētu un pagastu pārvaldēs.</w:t>
      </w:r>
    </w:p>
    <w:p w14:paraId="53993D83" w14:textId="77777777" w:rsidR="00E265F9" w:rsidRDefault="00E265F9" w:rsidP="00E265F9">
      <w:pPr>
        <w:pStyle w:val="Sarakstarindkopa"/>
        <w:numPr>
          <w:ilvl w:val="0"/>
          <w:numId w:val="4"/>
        </w:numPr>
        <w:ind w:left="284" w:hanging="284"/>
        <w:jc w:val="both"/>
      </w:pPr>
      <w:r w:rsidRPr="00E500D2">
        <w:t>Kontroli par lēmuma izpildi uzdot Ogres novada pašvaldības izpilddirektoram.</w:t>
      </w:r>
    </w:p>
    <w:p w14:paraId="1357612D" w14:textId="77777777" w:rsidR="00E265F9" w:rsidRDefault="00E265F9" w:rsidP="00E265F9">
      <w:pPr>
        <w:pStyle w:val="Sarakstarindkopa"/>
        <w:ind w:left="284"/>
        <w:jc w:val="both"/>
      </w:pPr>
    </w:p>
    <w:p w14:paraId="56E80804" w14:textId="38D9B73D" w:rsidR="003B6CBC" w:rsidRPr="00E265F9" w:rsidRDefault="003B6CBC" w:rsidP="00E265F9">
      <w:pPr>
        <w:pStyle w:val="Sarakstarindkopa"/>
        <w:ind w:left="284"/>
        <w:jc w:val="both"/>
      </w:pPr>
      <w:r w:rsidRPr="00E265F9">
        <w:rPr>
          <w:i/>
          <w:iCs/>
          <w:sz w:val="22"/>
          <w:szCs w:val="22"/>
        </w:rPr>
        <w:t xml:space="preserve">     </w:t>
      </w:r>
    </w:p>
    <w:p w14:paraId="13508F55" w14:textId="77777777" w:rsidR="007B5AE3" w:rsidRPr="00192B02" w:rsidRDefault="007B5AE3" w:rsidP="007B5AE3">
      <w:pPr>
        <w:jc w:val="right"/>
      </w:pPr>
      <w:r w:rsidRPr="00192B02">
        <w:t>(Sēdes vadītāja,</w:t>
      </w:r>
    </w:p>
    <w:p w14:paraId="1497732B" w14:textId="5C8E45C5" w:rsidR="007B5AE3" w:rsidRDefault="007B5AE3" w:rsidP="007B5AE3">
      <w:pPr>
        <w:pStyle w:val="Pamattekstaatkpe2"/>
        <w:ind w:left="218"/>
        <w:jc w:val="right"/>
      </w:pPr>
      <w:r w:rsidRPr="00192B02">
        <w:rPr>
          <w:szCs w:val="24"/>
        </w:rPr>
        <w:t>domes priekšsēdētāja</w:t>
      </w:r>
      <w:r w:rsidR="001B4B8E">
        <w:rPr>
          <w:szCs w:val="24"/>
        </w:rPr>
        <w:t xml:space="preserve"> E. Helmaņa</w:t>
      </w:r>
      <w:r w:rsidRPr="00192B02">
        <w:rPr>
          <w:szCs w:val="24"/>
        </w:rPr>
        <w:t xml:space="preserve"> paraksts)</w:t>
      </w:r>
    </w:p>
    <w:p w14:paraId="47F2EA6E" w14:textId="24F821FA" w:rsidR="00EC5341" w:rsidRDefault="00EC5341" w:rsidP="003B6CBC">
      <w:pPr>
        <w:pStyle w:val="Pamattekstaatkpe2"/>
        <w:ind w:left="357"/>
      </w:pPr>
    </w:p>
    <w:sectPr w:rsidR="00EC5341">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0B56F" w14:textId="77777777" w:rsidR="0060138A" w:rsidRDefault="0060138A">
      <w:r>
        <w:separator/>
      </w:r>
    </w:p>
  </w:endnote>
  <w:endnote w:type="continuationSeparator" w:id="0">
    <w:p w14:paraId="766CE39A" w14:textId="77777777" w:rsidR="0060138A" w:rsidRDefault="0060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E6C5"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00109E1"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99200" w14:textId="77777777" w:rsidR="0060138A" w:rsidRDefault="0060138A">
      <w:r>
        <w:separator/>
      </w:r>
    </w:p>
  </w:footnote>
  <w:footnote w:type="continuationSeparator" w:id="0">
    <w:p w14:paraId="1790A309" w14:textId="77777777" w:rsidR="0060138A" w:rsidRDefault="0060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B083B"/>
    <w:multiLevelType w:val="multilevel"/>
    <w:tmpl w:val="72DE0C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2896488"/>
    <w:multiLevelType w:val="hybridMultilevel"/>
    <w:tmpl w:val="0D304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03091"/>
    <w:rsid w:val="000109B1"/>
    <w:rsid w:val="0002172E"/>
    <w:rsid w:val="00027630"/>
    <w:rsid w:val="00060A3E"/>
    <w:rsid w:val="000611F7"/>
    <w:rsid w:val="00073B37"/>
    <w:rsid w:val="00082089"/>
    <w:rsid w:val="00085031"/>
    <w:rsid w:val="000D27B5"/>
    <w:rsid w:val="000D63E1"/>
    <w:rsid w:val="000D643E"/>
    <w:rsid w:val="001054D3"/>
    <w:rsid w:val="0010630D"/>
    <w:rsid w:val="00107004"/>
    <w:rsid w:val="00147DA0"/>
    <w:rsid w:val="0016596C"/>
    <w:rsid w:val="001A1736"/>
    <w:rsid w:val="001B4B8E"/>
    <w:rsid w:val="001C29EB"/>
    <w:rsid w:val="001D64C4"/>
    <w:rsid w:val="001E2C1C"/>
    <w:rsid w:val="001F30C5"/>
    <w:rsid w:val="001F5BFF"/>
    <w:rsid w:val="00202DE9"/>
    <w:rsid w:val="002204A4"/>
    <w:rsid w:val="00234DAA"/>
    <w:rsid w:val="00266E20"/>
    <w:rsid w:val="002B6AEE"/>
    <w:rsid w:val="002C3482"/>
    <w:rsid w:val="002E4FD9"/>
    <w:rsid w:val="002F0B4F"/>
    <w:rsid w:val="00305DD9"/>
    <w:rsid w:val="00333CAA"/>
    <w:rsid w:val="00340923"/>
    <w:rsid w:val="00353791"/>
    <w:rsid w:val="003538C9"/>
    <w:rsid w:val="00370674"/>
    <w:rsid w:val="003A0CAB"/>
    <w:rsid w:val="003B6CBC"/>
    <w:rsid w:val="0042147C"/>
    <w:rsid w:val="00425366"/>
    <w:rsid w:val="00480985"/>
    <w:rsid w:val="004908DF"/>
    <w:rsid w:val="004A0600"/>
    <w:rsid w:val="004B33BE"/>
    <w:rsid w:val="004C2F13"/>
    <w:rsid w:val="004C675B"/>
    <w:rsid w:val="004F2AFA"/>
    <w:rsid w:val="00547412"/>
    <w:rsid w:val="00581375"/>
    <w:rsid w:val="00590860"/>
    <w:rsid w:val="00590D07"/>
    <w:rsid w:val="005A5388"/>
    <w:rsid w:val="005A660C"/>
    <w:rsid w:val="005D4F46"/>
    <w:rsid w:val="0060138A"/>
    <w:rsid w:val="0061621E"/>
    <w:rsid w:val="00620582"/>
    <w:rsid w:val="00627FA3"/>
    <w:rsid w:val="00641781"/>
    <w:rsid w:val="00657C32"/>
    <w:rsid w:val="00672FAE"/>
    <w:rsid w:val="006A5BA0"/>
    <w:rsid w:val="006C54DC"/>
    <w:rsid w:val="006E1EBB"/>
    <w:rsid w:val="006F6203"/>
    <w:rsid w:val="0072370B"/>
    <w:rsid w:val="00750F99"/>
    <w:rsid w:val="0077320C"/>
    <w:rsid w:val="007A1582"/>
    <w:rsid w:val="007B5AE3"/>
    <w:rsid w:val="007D2DF8"/>
    <w:rsid w:val="007D7862"/>
    <w:rsid w:val="007F32CC"/>
    <w:rsid w:val="00814CED"/>
    <w:rsid w:val="008201C5"/>
    <w:rsid w:val="008239AC"/>
    <w:rsid w:val="00827404"/>
    <w:rsid w:val="008430C6"/>
    <w:rsid w:val="00845232"/>
    <w:rsid w:val="0085307F"/>
    <w:rsid w:val="00880EA6"/>
    <w:rsid w:val="00896039"/>
    <w:rsid w:val="008A28F7"/>
    <w:rsid w:val="008A5982"/>
    <w:rsid w:val="008A5EA3"/>
    <w:rsid w:val="008A757A"/>
    <w:rsid w:val="008B57E6"/>
    <w:rsid w:val="008C14EE"/>
    <w:rsid w:val="008C4234"/>
    <w:rsid w:val="008D62A7"/>
    <w:rsid w:val="009207BD"/>
    <w:rsid w:val="00970A38"/>
    <w:rsid w:val="00977CE1"/>
    <w:rsid w:val="009B592C"/>
    <w:rsid w:val="009C26AC"/>
    <w:rsid w:val="00A50837"/>
    <w:rsid w:val="00A515E7"/>
    <w:rsid w:val="00A51F16"/>
    <w:rsid w:val="00AE45DF"/>
    <w:rsid w:val="00AF0F72"/>
    <w:rsid w:val="00B213C1"/>
    <w:rsid w:val="00B8429D"/>
    <w:rsid w:val="00BC0924"/>
    <w:rsid w:val="00BE3A12"/>
    <w:rsid w:val="00C34B8C"/>
    <w:rsid w:val="00C405C1"/>
    <w:rsid w:val="00C7142C"/>
    <w:rsid w:val="00C868EB"/>
    <w:rsid w:val="00C938C3"/>
    <w:rsid w:val="00CB0C06"/>
    <w:rsid w:val="00CB4CB1"/>
    <w:rsid w:val="00CC717A"/>
    <w:rsid w:val="00CF6F1E"/>
    <w:rsid w:val="00D1215A"/>
    <w:rsid w:val="00D135EC"/>
    <w:rsid w:val="00D1434F"/>
    <w:rsid w:val="00D17523"/>
    <w:rsid w:val="00D433C2"/>
    <w:rsid w:val="00D46C31"/>
    <w:rsid w:val="00DB0747"/>
    <w:rsid w:val="00DC2CB6"/>
    <w:rsid w:val="00DD2585"/>
    <w:rsid w:val="00DF0DD6"/>
    <w:rsid w:val="00E265F9"/>
    <w:rsid w:val="00E40FED"/>
    <w:rsid w:val="00E43F17"/>
    <w:rsid w:val="00E6133F"/>
    <w:rsid w:val="00EA791C"/>
    <w:rsid w:val="00EC5341"/>
    <w:rsid w:val="00F1563B"/>
    <w:rsid w:val="00F24460"/>
    <w:rsid w:val="00F605D5"/>
    <w:rsid w:val="00F62AE2"/>
    <w:rsid w:val="00F67E7B"/>
    <w:rsid w:val="00F74F22"/>
    <w:rsid w:val="00F84C71"/>
    <w:rsid w:val="00FB16BB"/>
    <w:rsid w:val="00FE77B9"/>
    <w:rsid w:val="00FF2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F907"/>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semiHidden/>
    <w:unhideWhenUsed/>
    <w:rsid w:val="00DC2CB6"/>
    <w:rPr>
      <w:color w:val="0000FF"/>
      <w:u w:val="single"/>
    </w:rPr>
  </w:style>
  <w:style w:type="paragraph" w:customStyle="1" w:styleId="tv213">
    <w:name w:val="tv213"/>
    <w:basedOn w:val="Parasts"/>
    <w:rsid w:val="00F74F22"/>
    <w:pPr>
      <w:spacing w:before="100" w:beforeAutospacing="1" w:after="100" w:afterAutospacing="1"/>
    </w:pPr>
  </w:style>
  <w:style w:type="paragraph" w:customStyle="1" w:styleId="Default">
    <w:name w:val="Default"/>
    <w:rsid w:val="003B6CBC"/>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24534">
      <w:bodyDiv w:val="1"/>
      <w:marLeft w:val="0"/>
      <w:marRight w:val="0"/>
      <w:marTop w:val="0"/>
      <w:marBottom w:val="0"/>
      <w:divBdr>
        <w:top w:val="none" w:sz="0" w:space="0" w:color="auto"/>
        <w:left w:val="none" w:sz="0" w:space="0" w:color="auto"/>
        <w:bottom w:val="none" w:sz="0" w:space="0" w:color="auto"/>
        <w:right w:val="none" w:sz="0" w:space="0" w:color="auto"/>
      </w:divBdr>
      <w:divsChild>
        <w:div w:id="1079213405">
          <w:marLeft w:val="0"/>
          <w:marRight w:val="0"/>
          <w:marTop w:val="0"/>
          <w:marBottom w:val="0"/>
          <w:divBdr>
            <w:top w:val="none" w:sz="0" w:space="0" w:color="auto"/>
            <w:left w:val="none" w:sz="0" w:space="0" w:color="auto"/>
            <w:bottom w:val="none" w:sz="0" w:space="0" w:color="auto"/>
            <w:right w:val="none" w:sz="0" w:space="0" w:color="auto"/>
          </w:divBdr>
        </w:div>
        <w:div w:id="1935674612">
          <w:marLeft w:val="0"/>
          <w:marRight w:val="0"/>
          <w:marTop w:val="0"/>
          <w:marBottom w:val="0"/>
          <w:divBdr>
            <w:top w:val="none" w:sz="0" w:space="0" w:color="auto"/>
            <w:left w:val="none" w:sz="0" w:space="0" w:color="auto"/>
            <w:bottom w:val="none" w:sz="0" w:space="0" w:color="auto"/>
            <w:right w:val="none" w:sz="0" w:space="0" w:color="auto"/>
          </w:divBdr>
        </w:div>
      </w:divsChild>
    </w:div>
    <w:div w:id="214488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E348C3-EEE7-445F-89F7-8FFAAC58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3702</Words>
  <Characters>2111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2025-06-26T07:42:00Z</cp:lastPrinted>
  <dcterms:created xsi:type="dcterms:W3CDTF">2025-06-26T07:43:00Z</dcterms:created>
  <dcterms:modified xsi:type="dcterms:W3CDTF">2025-06-26T07:43:00Z</dcterms:modified>
</cp:coreProperties>
</file>