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AD81" w14:textId="77777777" w:rsidR="00271C22" w:rsidRPr="00271C22" w:rsidRDefault="00271C22" w:rsidP="00271C22">
      <w:pPr>
        <w:pStyle w:val="Galvene"/>
        <w:jc w:val="right"/>
        <w:rPr>
          <w:rFonts w:ascii="Times New Roman" w:hAnsi="Times New Roman" w:cs="Times New Roman"/>
        </w:rPr>
      </w:pPr>
      <w:r w:rsidRPr="00271C22">
        <w:rPr>
          <w:rFonts w:ascii="Times New Roman" w:hAnsi="Times New Roman" w:cs="Times New Roman"/>
        </w:rPr>
        <w:t>Pielikums</w:t>
      </w:r>
    </w:p>
    <w:p w14:paraId="4F2A138B" w14:textId="5EE5CB9F" w:rsidR="00271C22" w:rsidRDefault="00271C22" w:rsidP="00271C22">
      <w:pPr>
        <w:pStyle w:val="Galvene"/>
        <w:jc w:val="right"/>
        <w:rPr>
          <w:rFonts w:ascii="Times New Roman" w:hAnsi="Times New Roman" w:cs="Times New Roman"/>
        </w:rPr>
      </w:pPr>
      <w:r w:rsidRPr="00271C22">
        <w:rPr>
          <w:rFonts w:ascii="Times New Roman" w:hAnsi="Times New Roman" w:cs="Times New Roman"/>
        </w:rPr>
        <w:t xml:space="preserve">Ogres novada pašvaldības </w:t>
      </w:r>
      <w:r>
        <w:rPr>
          <w:rFonts w:ascii="Times New Roman" w:hAnsi="Times New Roman" w:cs="Times New Roman"/>
        </w:rPr>
        <w:t>domes</w:t>
      </w:r>
    </w:p>
    <w:p w14:paraId="54F50B6E" w14:textId="48089EF8" w:rsidR="00271C22" w:rsidRDefault="00271C22" w:rsidP="00271C22">
      <w:pPr>
        <w:pStyle w:val="Galvene"/>
        <w:jc w:val="right"/>
        <w:rPr>
          <w:rFonts w:ascii="Times New Roman" w:hAnsi="Times New Roman" w:cs="Times New Roman"/>
        </w:rPr>
      </w:pPr>
      <w:r>
        <w:rPr>
          <w:rFonts w:ascii="Times New Roman" w:hAnsi="Times New Roman" w:cs="Times New Roman"/>
        </w:rPr>
        <w:t xml:space="preserve"> </w:t>
      </w:r>
      <w:r w:rsidR="00B2717F">
        <w:rPr>
          <w:rFonts w:ascii="Times New Roman" w:hAnsi="Times New Roman" w:cs="Times New Roman"/>
        </w:rPr>
        <w:t>02</w:t>
      </w:r>
      <w:r w:rsidRPr="00271C22">
        <w:rPr>
          <w:rFonts w:ascii="Times New Roman" w:hAnsi="Times New Roman" w:cs="Times New Roman"/>
        </w:rPr>
        <w:t xml:space="preserve">.12.2025. ārkārtas sēdes lēmumam </w:t>
      </w:r>
    </w:p>
    <w:p w14:paraId="50791A90" w14:textId="731BF517" w:rsidR="00271C22" w:rsidRPr="00271C22" w:rsidRDefault="00271C22" w:rsidP="00271C22">
      <w:pPr>
        <w:pStyle w:val="Galvene"/>
        <w:jc w:val="right"/>
        <w:rPr>
          <w:rFonts w:ascii="Times New Roman" w:hAnsi="Times New Roman" w:cs="Times New Roman"/>
        </w:rPr>
      </w:pPr>
      <w:r>
        <w:rPr>
          <w:rFonts w:ascii="Times New Roman" w:hAnsi="Times New Roman" w:cs="Times New Roman"/>
        </w:rPr>
        <w:t>(protokols Nr.</w:t>
      </w:r>
      <w:r w:rsidR="00B2717F">
        <w:rPr>
          <w:rFonts w:ascii="Times New Roman" w:hAnsi="Times New Roman" w:cs="Times New Roman"/>
        </w:rPr>
        <w:t>13</w:t>
      </w:r>
      <w:r>
        <w:rPr>
          <w:rFonts w:ascii="Times New Roman" w:hAnsi="Times New Roman" w:cs="Times New Roman"/>
        </w:rPr>
        <w:t xml:space="preserve">; </w:t>
      </w:r>
      <w:r w:rsidR="00B2717F">
        <w:rPr>
          <w:rFonts w:ascii="Times New Roman" w:hAnsi="Times New Roman" w:cs="Times New Roman"/>
        </w:rPr>
        <w:t>3</w:t>
      </w:r>
      <w:r>
        <w:rPr>
          <w:rFonts w:ascii="Times New Roman" w:hAnsi="Times New Roman" w:cs="Times New Roman"/>
        </w:rPr>
        <w:t>.)</w:t>
      </w:r>
    </w:p>
    <w:p w14:paraId="69736881" w14:textId="77777777" w:rsidR="009D43D2" w:rsidRDefault="009D43D2" w:rsidP="00271C22">
      <w:pPr>
        <w:jc w:val="right"/>
        <w:rPr>
          <w:rFonts w:ascii="Times New Roman" w:hAnsi="Times New Roman" w:cs="Times New Roman"/>
        </w:rPr>
      </w:pPr>
    </w:p>
    <w:p w14:paraId="6C8E7E82" w14:textId="32EA16A4" w:rsidR="009D43D2" w:rsidRPr="00271C22" w:rsidRDefault="009D43D2" w:rsidP="00271C22">
      <w:pPr>
        <w:spacing w:after="0" w:line="240" w:lineRule="auto"/>
        <w:jc w:val="center"/>
        <w:rPr>
          <w:rFonts w:ascii="Times New Roman" w:eastAsiaTheme="minorEastAsia" w:hAnsi="Times New Roman" w:cs="Times New Roman"/>
          <w:b/>
          <w:bCs/>
        </w:rPr>
      </w:pPr>
      <w:r w:rsidRPr="00271C22">
        <w:rPr>
          <w:rFonts w:ascii="Times New Roman" w:hAnsi="Times New Roman" w:cs="Times New Roman"/>
          <w:b/>
          <w:bCs/>
        </w:rPr>
        <w:t xml:space="preserve">Pamatojums atbilstībai </w:t>
      </w:r>
      <w:r w:rsidR="00283C2E" w:rsidRPr="00271C22">
        <w:rPr>
          <w:rFonts w:ascii="Times New Roman" w:hAnsi="Times New Roman" w:cs="Times New Roman"/>
          <w:b/>
          <w:bCs/>
        </w:rPr>
        <w:t>Ministru kabineta 2025. gada 28. janvāra noteikumu Nr. 72 “</w:t>
      </w:r>
      <w:r w:rsidRPr="00271C22">
        <w:rPr>
          <w:rFonts w:ascii="Times New Roman" w:hAnsi="Times New Roman" w:cs="Times New Roman"/>
          <w:b/>
          <w:bCs/>
        </w:rPr>
        <w:t xml:space="preserve">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w:t>
      </w:r>
      <w:r w:rsidR="00283C2E" w:rsidRPr="00271C22">
        <w:rPr>
          <w:rFonts w:ascii="Times New Roman" w:hAnsi="Times New Roman" w:cs="Times New Roman"/>
          <w:b/>
          <w:bCs/>
        </w:rPr>
        <w:t>noteikumi” (turpmāk – Noteikumi</w:t>
      </w:r>
      <w:r w:rsidRPr="00271C22">
        <w:rPr>
          <w:rFonts w:ascii="Times New Roman" w:hAnsi="Times New Roman" w:cs="Times New Roman"/>
          <w:b/>
          <w:bCs/>
        </w:rPr>
        <w:t xml:space="preserve">) </w:t>
      </w:r>
      <m:oMath>
        <m:sSup>
          <m:sSupPr>
            <m:ctrlPr>
              <w:rPr>
                <w:rFonts w:ascii="Cambria Math" w:hAnsi="Cambria Math" w:cs="Times New Roman"/>
                <w:b/>
                <w:bCs/>
                <w:i/>
              </w:rPr>
            </m:ctrlPr>
          </m:sSupPr>
          <m:e>
            <m:r>
              <m:rPr>
                <m:sty m:val="bi"/>
              </m:rPr>
              <w:rPr>
                <w:rFonts w:ascii="Cambria Math" w:hAnsi="Cambria Math" w:cs="Times New Roman"/>
              </w:rPr>
              <m:t>11.</m:t>
            </m:r>
          </m:e>
          <m:sup>
            <m:r>
              <m:rPr>
                <m:sty m:val="bi"/>
              </m:rPr>
              <w:rPr>
                <w:rFonts w:ascii="Cambria Math" w:hAnsi="Cambria Math" w:cs="Times New Roman"/>
              </w:rPr>
              <m:t>1</m:t>
            </m:r>
          </m:sup>
        </m:sSup>
      </m:oMath>
      <w:r w:rsidRPr="00271C22">
        <w:rPr>
          <w:rFonts w:ascii="Times New Roman" w:eastAsiaTheme="minorEastAsia" w:hAnsi="Times New Roman" w:cs="Times New Roman"/>
          <w:b/>
          <w:bCs/>
        </w:rPr>
        <w:t xml:space="preserve"> punkta prasībām.</w:t>
      </w:r>
    </w:p>
    <w:p w14:paraId="5571599B" w14:textId="77777777" w:rsidR="00271C22" w:rsidRPr="00271C22" w:rsidRDefault="00271C22" w:rsidP="00271C22">
      <w:pPr>
        <w:spacing w:after="0" w:line="240" w:lineRule="auto"/>
        <w:rPr>
          <w:rFonts w:ascii="Times New Roman" w:eastAsiaTheme="minorEastAsia" w:hAnsi="Times New Roman" w:cs="Times New Roman"/>
          <w:b/>
          <w:bCs/>
        </w:rPr>
      </w:pPr>
    </w:p>
    <w:p w14:paraId="1C131974" w14:textId="4A7299E4" w:rsidR="009D43D2" w:rsidRPr="00271C22" w:rsidRDefault="009D43D2"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Noteikumu 2. pielikuma 6. punkts nosaka, ka pašvaldībai, kura ir pieņēmusi lēmumus par vispārējās izglītības iestāžu reorganizāciju un kurai vispārējās izglītības iestāžu tīklā  ir viena izglītības iestāde, kas neatbilst šo noteikumu </w:t>
      </w:r>
      <w:hyperlink r:id="rId7" w:anchor="piel1" w:history="1">
        <w:r w:rsidRPr="00271C22">
          <w:rPr>
            <w:rFonts w:ascii="Times New Roman" w:eastAsiaTheme="minorEastAsia" w:hAnsi="Times New Roman" w:cs="Times New Roman"/>
          </w:rPr>
          <w:t>1. pielikumā</w:t>
        </w:r>
      </w:hyperlink>
      <w:r w:rsidRPr="00271C22">
        <w:rPr>
          <w:rFonts w:ascii="Times New Roman" w:eastAsiaTheme="minorEastAsia" w:hAnsi="Times New Roman" w:cs="Times New Roman"/>
        </w:rPr>
        <w:t> minētajiem kritērijiem, piemēro pārejas periodu. Minētā pašvaldība uzskatāma par atbilstošu projekta iesniedzēju atbilstības kritērijiem, ja pašvaldība iesniedz pierādījumos balstītu apliecinājumu par  izglītojamo skaita pieaugumu līdz 2027./2028. mācību gada beigām.</w:t>
      </w:r>
    </w:p>
    <w:p w14:paraId="74FC2BB0" w14:textId="3DCA50C8" w:rsidR="009D43D2" w:rsidRPr="00271C22" w:rsidRDefault="009D43D2"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Līdz ar Ogres novada pašvaldības domes 2025. gada 27. novembra lēmumu “Par vispārējās vidējās izglītības iestādes izveidi, reorganizējot Taurupes pamatskolu, Ķeipenes pamatskolu un Madlienas vidusskolu” (protokols Nr. 12,25.), Noteikumos definētajām prasībām neatbilst jaunveidot</w:t>
      </w:r>
      <w:r w:rsidR="00CE1BC9" w:rsidRPr="00271C22">
        <w:rPr>
          <w:rFonts w:ascii="Times New Roman" w:eastAsiaTheme="minorEastAsia" w:hAnsi="Times New Roman" w:cs="Times New Roman"/>
        </w:rPr>
        <w:t>ā vispārējās vidējās izglītības iestāde vienā vecumposmā – 10. – 12. klasē (pašreizējas Madlienas vidusskolas 10. – 12. klašu posms).</w:t>
      </w:r>
    </w:p>
    <w:p w14:paraId="0A2AD3F2" w14:textId="77777777" w:rsidR="00CE1BC9" w:rsidRPr="00271C22" w:rsidRDefault="00CE1BC9"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Mācības Madlienas vidusskolas 10. – 12. klašu posmā 2025. gada 1. septembrī uzsāka 7 skolēni 10. klasē, 15 skolēni 11. klasē un 19 skolēni 12. klasē. Kopējais skolēnu skaits 10. – 12. klašu posmā 2025. gada 1. septembrī bija 41.</w:t>
      </w:r>
    </w:p>
    <w:p w14:paraId="50DDB039" w14:textId="14044C7C" w:rsidR="00CE1BC9" w:rsidRPr="00271C22" w:rsidRDefault="00CE1BC9"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2025. gada 27. novembrī skolēnu skaits 10. klasē bija palielinājies līdz 10 skolēniem, un kopējais skolēnu skaits 10. – 12. klašu posmā 2025. gada 27. novembrī bija 4</w:t>
      </w:r>
      <w:r w:rsidR="00D57FE2" w:rsidRPr="00271C22">
        <w:rPr>
          <w:rFonts w:ascii="Times New Roman" w:eastAsiaTheme="minorEastAsia" w:hAnsi="Times New Roman" w:cs="Times New Roman"/>
        </w:rPr>
        <w:t>4</w:t>
      </w:r>
      <w:r w:rsidRPr="00271C22">
        <w:rPr>
          <w:rFonts w:ascii="Times New Roman" w:eastAsiaTheme="minorEastAsia" w:hAnsi="Times New Roman" w:cs="Times New Roman"/>
        </w:rPr>
        <w:t>.</w:t>
      </w:r>
    </w:p>
    <w:p w14:paraId="593BE1B4" w14:textId="7B5CCAFB" w:rsidR="000E0568" w:rsidRDefault="00D57FE2"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Ikgadēja Ogres novada izglītības iestāžu 9. klašu absolventu turpmāko izglītības izvēļu analīze liecina, ka vispārējās vidējās izglītības iestādes Ogres novadā izvēlējās 43% 2022./23. mācību gada devīto klašu absolventu, 45% 2023./24. mācību gada devīto klašu absolventu un 46% 2024./25. mācību gada devīto klašu absolventu. Pieņemot, ka devīto klašu skolēnu izvēles saglabāsies līdzīgas (vidēji 4</w:t>
      </w:r>
      <w:r w:rsidR="000E0568" w:rsidRPr="00271C22">
        <w:rPr>
          <w:rFonts w:ascii="Times New Roman" w:eastAsiaTheme="minorEastAsia" w:hAnsi="Times New Roman" w:cs="Times New Roman"/>
        </w:rPr>
        <w:t>0</w:t>
      </w:r>
      <w:r w:rsidRPr="00271C22">
        <w:rPr>
          <w:rFonts w:ascii="Times New Roman" w:eastAsiaTheme="minorEastAsia" w:hAnsi="Times New Roman" w:cs="Times New Roman"/>
        </w:rPr>
        <w:t>% devīto klašu absolventu izvēlēsies apgūt vispārējo vidējo izglītību Ogres novada izglītības iestādēs), paredzamais 10. klašu skolēnu skaits no novada izglītības iestādēm attēlots 1. tabulā.</w:t>
      </w:r>
      <w:r w:rsidR="000E0568" w:rsidRPr="00271C22">
        <w:rPr>
          <w:rFonts w:ascii="Times New Roman" w:eastAsiaTheme="minorEastAsia" w:hAnsi="Times New Roman" w:cs="Times New Roman"/>
        </w:rPr>
        <w:t xml:space="preserve"> Aprēķinā ņemts vērā, ka no 10. klases uz 11. klasi, no 11. klases uz 12. klasi un no 12. klases absolvē 95% no iepriekšējā mācību gada skolēnu skaita, kas saskan ar vidējiem rādītājiem novadā.</w:t>
      </w:r>
    </w:p>
    <w:p w14:paraId="16B85D4A" w14:textId="77777777" w:rsidR="00271C22" w:rsidRDefault="00271C22" w:rsidP="00271C22">
      <w:pPr>
        <w:spacing w:after="120"/>
        <w:jc w:val="both"/>
        <w:rPr>
          <w:rFonts w:ascii="Times New Roman" w:eastAsiaTheme="minorEastAsia" w:hAnsi="Times New Roman" w:cs="Times New Roman"/>
        </w:rPr>
      </w:pPr>
    </w:p>
    <w:p w14:paraId="0EE63CDD" w14:textId="77777777" w:rsidR="00271C22" w:rsidRDefault="00271C22" w:rsidP="00271C22">
      <w:pPr>
        <w:spacing w:after="120"/>
        <w:jc w:val="both"/>
        <w:rPr>
          <w:rFonts w:ascii="Times New Roman" w:eastAsiaTheme="minorEastAsia" w:hAnsi="Times New Roman" w:cs="Times New Roman"/>
        </w:rPr>
      </w:pPr>
    </w:p>
    <w:p w14:paraId="31B9A973" w14:textId="77777777" w:rsidR="00271C22" w:rsidRDefault="00271C22" w:rsidP="00271C22">
      <w:pPr>
        <w:spacing w:after="120"/>
        <w:jc w:val="both"/>
        <w:rPr>
          <w:rFonts w:ascii="Times New Roman" w:eastAsiaTheme="minorEastAsia" w:hAnsi="Times New Roman" w:cs="Times New Roman"/>
        </w:rPr>
      </w:pPr>
    </w:p>
    <w:p w14:paraId="129662B4" w14:textId="77777777" w:rsidR="00B2717F" w:rsidRPr="00271C22" w:rsidRDefault="00B2717F" w:rsidP="00271C22">
      <w:pPr>
        <w:spacing w:after="120"/>
        <w:jc w:val="both"/>
        <w:rPr>
          <w:rFonts w:ascii="Times New Roman" w:eastAsiaTheme="minorEastAsia" w:hAnsi="Times New Roman" w:cs="Times New Roman"/>
        </w:rPr>
      </w:pPr>
    </w:p>
    <w:p w14:paraId="37977BC8" w14:textId="46417BEC" w:rsidR="009D43D2" w:rsidRPr="00271C22" w:rsidRDefault="00D57FE2" w:rsidP="00271C22">
      <w:pPr>
        <w:pStyle w:val="Sarakstarindkopa"/>
        <w:numPr>
          <w:ilvl w:val="0"/>
          <w:numId w:val="2"/>
        </w:numPr>
        <w:ind w:left="426"/>
        <w:jc w:val="right"/>
        <w:rPr>
          <w:rFonts w:ascii="Times New Roman" w:eastAsiaTheme="minorEastAsia" w:hAnsi="Times New Roman" w:cs="Times New Roman"/>
          <w:i/>
          <w:iCs/>
        </w:rPr>
      </w:pPr>
      <w:r w:rsidRPr="00271C22">
        <w:rPr>
          <w:rFonts w:ascii="Times New Roman" w:eastAsiaTheme="minorEastAsia" w:hAnsi="Times New Roman" w:cs="Times New Roman"/>
          <w:i/>
          <w:iCs/>
        </w:rPr>
        <w:lastRenderedPageBreak/>
        <w:t>tabula: prog</w:t>
      </w:r>
      <w:bookmarkStart w:id="0" w:name="_GoBack"/>
      <w:bookmarkEnd w:id="0"/>
      <w:r w:rsidRPr="00271C22">
        <w:rPr>
          <w:rFonts w:ascii="Times New Roman" w:eastAsiaTheme="minorEastAsia" w:hAnsi="Times New Roman" w:cs="Times New Roman"/>
          <w:i/>
          <w:iCs/>
        </w:rPr>
        <w:t>nozētais 10. klašu skolēnu skaits no Ogres novada izglītības iestādēm</w:t>
      </w:r>
    </w:p>
    <w:p w14:paraId="5E5D6DD9" w14:textId="467160BD" w:rsidR="000E0568" w:rsidRPr="00271C22" w:rsidRDefault="000E0568" w:rsidP="00271C22">
      <w:pPr>
        <w:ind w:left="426"/>
        <w:jc w:val="center"/>
        <w:rPr>
          <w:rFonts w:ascii="Times New Roman" w:eastAsiaTheme="minorEastAsia" w:hAnsi="Times New Roman" w:cs="Times New Roman"/>
          <w:i/>
          <w:iCs/>
        </w:rPr>
      </w:pPr>
      <w:r w:rsidRPr="00271C22">
        <w:rPr>
          <w:rFonts w:ascii="Times New Roman" w:eastAsiaTheme="minorEastAsia" w:hAnsi="Times New Roman" w:cs="Times New Roman"/>
          <w:i/>
          <w:iCs/>
          <w:noProof/>
          <w:lang w:eastAsia="lv-LV"/>
        </w:rPr>
        <w:drawing>
          <wp:inline distT="0" distB="0" distL="0" distR="0" wp14:anchorId="75B4C929" wp14:editId="44969246">
            <wp:extent cx="3923631" cy="2286000"/>
            <wp:effectExtent l="0" t="0" r="1270" b="0"/>
            <wp:docPr id="2370141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14176" name=""/>
                    <pic:cNvPicPr/>
                  </pic:nvPicPr>
                  <pic:blipFill>
                    <a:blip r:embed="rId8"/>
                    <a:stretch>
                      <a:fillRect/>
                    </a:stretch>
                  </pic:blipFill>
                  <pic:spPr>
                    <a:xfrm>
                      <a:off x="0" y="0"/>
                      <a:ext cx="3927505" cy="2288257"/>
                    </a:xfrm>
                    <a:prstGeom prst="rect">
                      <a:avLst/>
                    </a:prstGeom>
                  </pic:spPr>
                </pic:pic>
              </a:graphicData>
            </a:graphic>
          </wp:inline>
        </w:drawing>
      </w:r>
    </w:p>
    <w:p w14:paraId="7CAAC59F" w14:textId="68B8DB0C" w:rsidR="000E0568" w:rsidRPr="00271C22" w:rsidRDefault="000E0568" w:rsidP="00271C22">
      <w:pPr>
        <w:pStyle w:val="Sarakstarindkopa"/>
        <w:numPr>
          <w:ilvl w:val="0"/>
          <w:numId w:val="1"/>
        </w:numPr>
        <w:spacing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Nozīmīgi ievērot, ka vidējās izglītības pakalpojumu vairs nepiedāvā Ērgļu pamatskola un Zaubes pamatskolas absolventiem pašreizējā Madlienas vidusskola ir līdzvērtīga izvēle Mālpils vidusskolas piedāvājumam. Arī šo divu citu novadu izglītības iestāžu 9. klašu absolventi ir jaunizveidotās vispārējās vidējās izglītības iestādes mērķauditorija. 2. tabulā attēlots skolēnu skaits Ērgļu pamatskolā un Zaubes pamatskolā 2025. gada 1. septembrī.</w:t>
      </w:r>
    </w:p>
    <w:p w14:paraId="11D4F5C8" w14:textId="5370C1A2" w:rsidR="000E0568" w:rsidRPr="00271C22" w:rsidRDefault="000E0568" w:rsidP="00271C22">
      <w:pPr>
        <w:pStyle w:val="Sarakstarindkopa"/>
        <w:numPr>
          <w:ilvl w:val="0"/>
          <w:numId w:val="2"/>
        </w:numPr>
        <w:spacing w:after="120"/>
        <w:ind w:left="426"/>
        <w:jc w:val="right"/>
        <w:rPr>
          <w:rFonts w:ascii="Times New Roman" w:eastAsiaTheme="minorEastAsia" w:hAnsi="Times New Roman" w:cs="Times New Roman"/>
        </w:rPr>
      </w:pPr>
      <w:r w:rsidRPr="00271C22">
        <w:rPr>
          <w:rFonts w:ascii="Times New Roman" w:eastAsiaTheme="minorEastAsia" w:hAnsi="Times New Roman" w:cs="Times New Roman"/>
          <w:i/>
          <w:iCs/>
        </w:rPr>
        <w:t>tabula: skolēnu skaits Ērgļu pamatskolā un Zaubes pamatskolā 2025. gada 1. septembrī</w:t>
      </w:r>
    </w:p>
    <w:tbl>
      <w:tblPr>
        <w:tblStyle w:val="Reatabula"/>
        <w:tblW w:w="9095" w:type="dxa"/>
        <w:jc w:val="right"/>
        <w:tblLayout w:type="fixed"/>
        <w:tblLook w:val="04A0" w:firstRow="1" w:lastRow="0" w:firstColumn="1" w:lastColumn="0" w:noHBand="0" w:noVBand="1"/>
      </w:tblPr>
      <w:tblGrid>
        <w:gridCol w:w="1436"/>
        <w:gridCol w:w="851"/>
        <w:gridCol w:w="851"/>
        <w:gridCol w:w="851"/>
        <w:gridCol w:w="851"/>
        <w:gridCol w:w="851"/>
        <w:gridCol w:w="851"/>
        <w:gridCol w:w="851"/>
        <w:gridCol w:w="851"/>
        <w:gridCol w:w="851"/>
      </w:tblGrid>
      <w:tr w:rsidR="00652ED8" w:rsidRPr="00271C22" w14:paraId="16D787CB" w14:textId="77777777" w:rsidTr="00CB0E24">
        <w:trPr>
          <w:jc w:val="right"/>
        </w:trPr>
        <w:tc>
          <w:tcPr>
            <w:tcW w:w="1436" w:type="dxa"/>
            <w:vMerge w:val="restart"/>
            <w:vAlign w:val="center"/>
          </w:tcPr>
          <w:p w14:paraId="3FB9911F" w14:textId="2F08059E" w:rsidR="00652ED8" w:rsidRPr="00271C22" w:rsidRDefault="00652ED8" w:rsidP="00CB0E24">
            <w:pPr>
              <w:spacing w:after="120"/>
              <w:ind w:left="29"/>
              <w:jc w:val="center"/>
              <w:rPr>
                <w:rFonts w:ascii="Times New Roman" w:eastAsiaTheme="minorEastAsia" w:hAnsi="Times New Roman" w:cs="Times New Roman"/>
              </w:rPr>
            </w:pPr>
            <w:r w:rsidRPr="00271C22">
              <w:rPr>
                <w:rFonts w:ascii="Times New Roman" w:eastAsiaTheme="minorEastAsia" w:hAnsi="Times New Roman" w:cs="Times New Roman"/>
              </w:rPr>
              <w:t>Izglītības iestāde</w:t>
            </w:r>
          </w:p>
        </w:tc>
        <w:tc>
          <w:tcPr>
            <w:tcW w:w="7659" w:type="dxa"/>
            <w:gridSpan w:val="9"/>
            <w:vAlign w:val="center"/>
          </w:tcPr>
          <w:p w14:paraId="45061EC7" w14:textId="342D61D3"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Klase</w:t>
            </w:r>
          </w:p>
        </w:tc>
      </w:tr>
      <w:tr w:rsidR="00652ED8" w:rsidRPr="00271C22" w14:paraId="2360EE72" w14:textId="3324DAC5" w:rsidTr="00CB0E24">
        <w:trPr>
          <w:jc w:val="right"/>
        </w:trPr>
        <w:tc>
          <w:tcPr>
            <w:tcW w:w="1436" w:type="dxa"/>
            <w:vMerge/>
            <w:vAlign w:val="center"/>
          </w:tcPr>
          <w:p w14:paraId="25FF94FB" w14:textId="1A4DA036" w:rsidR="00652ED8" w:rsidRPr="00271C22" w:rsidRDefault="00652ED8" w:rsidP="00271C22">
            <w:pPr>
              <w:spacing w:after="120"/>
              <w:ind w:left="426"/>
              <w:jc w:val="center"/>
              <w:rPr>
                <w:rFonts w:ascii="Times New Roman" w:eastAsiaTheme="minorEastAsia" w:hAnsi="Times New Roman" w:cs="Times New Roman"/>
              </w:rPr>
            </w:pPr>
          </w:p>
        </w:tc>
        <w:tc>
          <w:tcPr>
            <w:tcW w:w="851" w:type="dxa"/>
            <w:vAlign w:val="center"/>
          </w:tcPr>
          <w:p w14:paraId="5903346D" w14:textId="5AB9E847"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w:t>
            </w:r>
          </w:p>
        </w:tc>
        <w:tc>
          <w:tcPr>
            <w:tcW w:w="851" w:type="dxa"/>
            <w:vAlign w:val="center"/>
          </w:tcPr>
          <w:p w14:paraId="6AFF323B" w14:textId="2910DF2F"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w:t>
            </w:r>
          </w:p>
        </w:tc>
        <w:tc>
          <w:tcPr>
            <w:tcW w:w="851" w:type="dxa"/>
            <w:vAlign w:val="center"/>
          </w:tcPr>
          <w:p w14:paraId="5B36EC35" w14:textId="074EDD6D"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3</w:t>
            </w:r>
          </w:p>
        </w:tc>
        <w:tc>
          <w:tcPr>
            <w:tcW w:w="851" w:type="dxa"/>
            <w:vAlign w:val="center"/>
          </w:tcPr>
          <w:p w14:paraId="651080F2" w14:textId="77915FC8"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4</w:t>
            </w:r>
          </w:p>
        </w:tc>
        <w:tc>
          <w:tcPr>
            <w:tcW w:w="851" w:type="dxa"/>
            <w:vAlign w:val="center"/>
          </w:tcPr>
          <w:p w14:paraId="452FBFFF" w14:textId="1F147CE9"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5</w:t>
            </w:r>
          </w:p>
        </w:tc>
        <w:tc>
          <w:tcPr>
            <w:tcW w:w="851" w:type="dxa"/>
            <w:vAlign w:val="center"/>
          </w:tcPr>
          <w:p w14:paraId="53E56BAF" w14:textId="7008B6DB"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6</w:t>
            </w:r>
          </w:p>
        </w:tc>
        <w:tc>
          <w:tcPr>
            <w:tcW w:w="851" w:type="dxa"/>
            <w:vAlign w:val="center"/>
          </w:tcPr>
          <w:p w14:paraId="27E98113" w14:textId="195BE2F3"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7</w:t>
            </w:r>
          </w:p>
        </w:tc>
        <w:tc>
          <w:tcPr>
            <w:tcW w:w="851" w:type="dxa"/>
            <w:vAlign w:val="center"/>
          </w:tcPr>
          <w:p w14:paraId="440970A5" w14:textId="751E53A0"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8</w:t>
            </w:r>
          </w:p>
        </w:tc>
        <w:tc>
          <w:tcPr>
            <w:tcW w:w="851" w:type="dxa"/>
            <w:vAlign w:val="center"/>
          </w:tcPr>
          <w:p w14:paraId="3933535E" w14:textId="277B08AE"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9</w:t>
            </w:r>
          </w:p>
        </w:tc>
      </w:tr>
      <w:tr w:rsidR="00652ED8" w:rsidRPr="00271C22" w14:paraId="3ADB56B0" w14:textId="77777777" w:rsidTr="00CB0E24">
        <w:trPr>
          <w:jc w:val="right"/>
        </w:trPr>
        <w:tc>
          <w:tcPr>
            <w:tcW w:w="1436" w:type="dxa"/>
            <w:vAlign w:val="center"/>
          </w:tcPr>
          <w:p w14:paraId="30A8AC5A" w14:textId="60B83196" w:rsidR="00652ED8" w:rsidRPr="00271C22" w:rsidRDefault="00652ED8" w:rsidP="00CB0E24">
            <w:pPr>
              <w:spacing w:after="120"/>
              <w:rPr>
                <w:rFonts w:ascii="Times New Roman" w:eastAsiaTheme="minorEastAsia" w:hAnsi="Times New Roman" w:cs="Times New Roman"/>
              </w:rPr>
            </w:pPr>
            <w:r w:rsidRPr="00271C22">
              <w:rPr>
                <w:rFonts w:ascii="Times New Roman" w:eastAsiaTheme="minorEastAsia" w:hAnsi="Times New Roman" w:cs="Times New Roman"/>
              </w:rPr>
              <w:t>Zaubes pamatskola</w:t>
            </w:r>
          </w:p>
        </w:tc>
        <w:tc>
          <w:tcPr>
            <w:tcW w:w="851" w:type="dxa"/>
            <w:vAlign w:val="center"/>
          </w:tcPr>
          <w:p w14:paraId="51E8C2F3" w14:textId="0C2651F6"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12</w:t>
            </w:r>
          </w:p>
        </w:tc>
        <w:tc>
          <w:tcPr>
            <w:tcW w:w="851" w:type="dxa"/>
            <w:vAlign w:val="center"/>
          </w:tcPr>
          <w:p w14:paraId="698BBE57" w14:textId="35230ABB"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8</w:t>
            </w:r>
          </w:p>
        </w:tc>
        <w:tc>
          <w:tcPr>
            <w:tcW w:w="851" w:type="dxa"/>
            <w:vAlign w:val="center"/>
          </w:tcPr>
          <w:p w14:paraId="3111F62F" w14:textId="1C5F82E6"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9</w:t>
            </w:r>
          </w:p>
        </w:tc>
        <w:tc>
          <w:tcPr>
            <w:tcW w:w="851" w:type="dxa"/>
            <w:vAlign w:val="center"/>
          </w:tcPr>
          <w:p w14:paraId="191E361A" w14:textId="172D78AA"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5</w:t>
            </w:r>
          </w:p>
        </w:tc>
        <w:tc>
          <w:tcPr>
            <w:tcW w:w="851" w:type="dxa"/>
            <w:vAlign w:val="center"/>
          </w:tcPr>
          <w:p w14:paraId="370E52CC" w14:textId="467AD3B2"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5</w:t>
            </w:r>
          </w:p>
        </w:tc>
        <w:tc>
          <w:tcPr>
            <w:tcW w:w="851" w:type="dxa"/>
            <w:vAlign w:val="center"/>
          </w:tcPr>
          <w:p w14:paraId="3B8B1D4C" w14:textId="46B089E2"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11</w:t>
            </w:r>
          </w:p>
        </w:tc>
        <w:tc>
          <w:tcPr>
            <w:tcW w:w="851" w:type="dxa"/>
            <w:vAlign w:val="center"/>
          </w:tcPr>
          <w:p w14:paraId="62EFC77F" w14:textId="7DA66D0D"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6</w:t>
            </w:r>
          </w:p>
        </w:tc>
        <w:tc>
          <w:tcPr>
            <w:tcW w:w="851" w:type="dxa"/>
            <w:vAlign w:val="center"/>
          </w:tcPr>
          <w:p w14:paraId="23C539A4" w14:textId="74B296A3"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7</w:t>
            </w:r>
          </w:p>
        </w:tc>
        <w:tc>
          <w:tcPr>
            <w:tcW w:w="851" w:type="dxa"/>
            <w:vAlign w:val="center"/>
          </w:tcPr>
          <w:p w14:paraId="60410EA2" w14:textId="0249E26E"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5</w:t>
            </w:r>
          </w:p>
        </w:tc>
      </w:tr>
      <w:tr w:rsidR="00652ED8" w:rsidRPr="00271C22" w14:paraId="0C2B2145" w14:textId="0112066F" w:rsidTr="00CB0E24">
        <w:trPr>
          <w:jc w:val="right"/>
        </w:trPr>
        <w:tc>
          <w:tcPr>
            <w:tcW w:w="1436" w:type="dxa"/>
            <w:vAlign w:val="center"/>
          </w:tcPr>
          <w:p w14:paraId="58A84508" w14:textId="3BDA078D" w:rsidR="00652ED8" w:rsidRPr="00271C22" w:rsidRDefault="00652ED8" w:rsidP="00CB0E24">
            <w:pPr>
              <w:spacing w:after="120"/>
              <w:ind w:left="29"/>
              <w:rPr>
                <w:rFonts w:ascii="Times New Roman" w:eastAsiaTheme="minorEastAsia" w:hAnsi="Times New Roman" w:cs="Times New Roman"/>
              </w:rPr>
            </w:pPr>
            <w:r w:rsidRPr="00271C22">
              <w:rPr>
                <w:rFonts w:ascii="Times New Roman" w:eastAsiaTheme="minorEastAsia" w:hAnsi="Times New Roman" w:cs="Times New Roman"/>
              </w:rPr>
              <w:t>Ērgļu pamatskola</w:t>
            </w:r>
          </w:p>
        </w:tc>
        <w:tc>
          <w:tcPr>
            <w:tcW w:w="851" w:type="dxa"/>
            <w:vAlign w:val="center"/>
          </w:tcPr>
          <w:p w14:paraId="4A6D37E5" w14:textId="628DA700"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23</w:t>
            </w:r>
          </w:p>
        </w:tc>
        <w:tc>
          <w:tcPr>
            <w:tcW w:w="851" w:type="dxa"/>
            <w:vAlign w:val="center"/>
          </w:tcPr>
          <w:p w14:paraId="5B062CEC" w14:textId="660118BB"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16</w:t>
            </w:r>
          </w:p>
        </w:tc>
        <w:tc>
          <w:tcPr>
            <w:tcW w:w="851" w:type="dxa"/>
            <w:vAlign w:val="center"/>
          </w:tcPr>
          <w:p w14:paraId="16F646AF" w14:textId="5C4BE394"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18</w:t>
            </w:r>
          </w:p>
        </w:tc>
        <w:tc>
          <w:tcPr>
            <w:tcW w:w="851" w:type="dxa"/>
            <w:vAlign w:val="center"/>
          </w:tcPr>
          <w:p w14:paraId="01025F1A" w14:textId="04C3559B"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23</w:t>
            </w:r>
          </w:p>
        </w:tc>
        <w:tc>
          <w:tcPr>
            <w:tcW w:w="851" w:type="dxa"/>
            <w:vAlign w:val="center"/>
          </w:tcPr>
          <w:p w14:paraId="53070C69" w14:textId="2A7F06F4"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16</w:t>
            </w:r>
          </w:p>
        </w:tc>
        <w:tc>
          <w:tcPr>
            <w:tcW w:w="851" w:type="dxa"/>
            <w:vAlign w:val="center"/>
          </w:tcPr>
          <w:p w14:paraId="5073F92D" w14:textId="6C63AD1E"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21</w:t>
            </w:r>
          </w:p>
        </w:tc>
        <w:tc>
          <w:tcPr>
            <w:tcW w:w="851" w:type="dxa"/>
            <w:vAlign w:val="center"/>
          </w:tcPr>
          <w:p w14:paraId="2B8D762A" w14:textId="4C337B59"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17</w:t>
            </w:r>
          </w:p>
        </w:tc>
        <w:tc>
          <w:tcPr>
            <w:tcW w:w="851" w:type="dxa"/>
            <w:vAlign w:val="center"/>
          </w:tcPr>
          <w:p w14:paraId="6CFAF8AE" w14:textId="737B3AF0"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23</w:t>
            </w:r>
          </w:p>
        </w:tc>
        <w:tc>
          <w:tcPr>
            <w:tcW w:w="851" w:type="dxa"/>
            <w:vAlign w:val="center"/>
          </w:tcPr>
          <w:p w14:paraId="7323253B" w14:textId="27F4C330"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10</w:t>
            </w:r>
          </w:p>
        </w:tc>
      </w:tr>
      <w:tr w:rsidR="00652ED8" w:rsidRPr="00271C22" w14:paraId="3B391609" w14:textId="77777777" w:rsidTr="00CB0E24">
        <w:trPr>
          <w:jc w:val="right"/>
        </w:trPr>
        <w:tc>
          <w:tcPr>
            <w:tcW w:w="1436" w:type="dxa"/>
            <w:vAlign w:val="center"/>
          </w:tcPr>
          <w:p w14:paraId="05741048" w14:textId="4C83D4AC" w:rsidR="00652ED8" w:rsidRPr="00271C22" w:rsidRDefault="00652ED8" w:rsidP="00CB0E24">
            <w:pPr>
              <w:spacing w:after="120"/>
              <w:ind w:left="29"/>
              <w:rPr>
                <w:rFonts w:ascii="Times New Roman" w:eastAsiaTheme="minorEastAsia" w:hAnsi="Times New Roman" w:cs="Times New Roman"/>
              </w:rPr>
            </w:pPr>
            <w:r w:rsidRPr="00271C22">
              <w:rPr>
                <w:rFonts w:ascii="Times New Roman" w:eastAsiaTheme="minorEastAsia" w:hAnsi="Times New Roman" w:cs="Times New Roman"/>
              </w:rPr>
              <w:t>Kopsumma</w:t>
            </w:r>
          </w:p>
        </w:tc>
        <w:tc>
          <w:tcPr>
            <w:tcW w:w="851" w:type="dxa"/>
            <w:vAlign w:val="center"/>
          </w:tcPr>
          <w:p w14:paraId="50A14A09" w14:textId="3A97905A"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35</w:t>
            </w:r>
          </w:p>
        </w:tc>
        <w:tc>
          <w:tcPr>
            <w:tcW w:w="851" w:type="dxa"/>
            <w:vAlign w:val="center"/>
          </w:tcPr>
          <w:p w14:paraId="56A217BB" w14:textId="301A8639"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24</w:t>
            </w:r>
          </w:p>
        </w:tc>
        <w:tc>
          <w:tcPr>
            <w:tcW w:w="851" w:type="dxa"/>
            <w:vAlign w:val="center"/>
          </w:tcPr>
          <w:p w14:paraId="23754052" w14:textId="6FF0F404"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27</w:t>
            </w:r>
          </w:p>
        </w:tc>
        <w:tc>
          <w:tcPr>
            <w:tcW w:w="851" w:type="dxa"/>
            <w:vAlign w:val="center"/>
          </w:tcPr>
          <w:p w14:paraId="64314608" w14:textId="45238A2E"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28</w:t>
            </w:r>
          </w:p>
        </w:tc>
        <w:tc>
          <w:tcPr>
            <w:tcW w:w="851" w:type="dxa"/>
            <w:vAlign w:val="center"/>
          </w:tcPr>
          <w:p w14:paraId="51587C3E" w14:textId="59D2C3D6"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21</w:t>
            </w:r>
          </w:p>
        </w:tc>
        <w:tc>
          <w:tcPr>
            <w:tcW w:w="851" w:type="dxa"/>
            <w:vAlign w:val="center"/>
          </w:tcPr>
          <w:p w14:paraId="4AA34079" w14:textId="43249BAA"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32</w:t>
            </w:r>
          </w:p>
        </w:tc>
        <w:tc>
          <w:tcPr>
            <w:tcW w:w="851" w:type="dxa"/>
            <w:vAlign w:val="center"/>
          </w:tcPr>
          <w:p w14:paraId="73ED35A6" w14:textId="08F97701"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23</w:t>
            </w:r>
          </w:p>
        </w:tc>
        <w:tc>
          <w:tcPr>
            <w:tcW w:w="851" w:type="dxa"/>
            <w:vAlign w:val="center"/>
          </w:tcPr>
          <w:p w14:paraId="6E301D62" w14:textId="5706E1F3"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30</w:t>
            </w:r>
          </w:p>
        </w:tc>
        <w:tc>
          <w:tcPr>
            <w:tcW w:w="851" w:type="dxa"/>
            <w:vAlign w:val="center"/>
          </w:tcPr>
          <w:p w14:paraId="46E43103" w14:textId="17DCBC2C" w:rsidR="00652ED8" w:rsidRPr="00271C22" w:rsidRDefault="00652ED8" w:rsidP="00271C22">
            <w:pPr>
              <w:spacing w:after="120"/>
              <w:ind w:left="426"/>
              <w:jc w:val="center"/>
              <w:rPr>
                <w:rFonts w:ascii="Times New Roman" w:eastAsiaTheme="minorEastAsia" w:hAnsi="Times New Roman" w:cs="Times New Roman"/>
              </w:rPr>
            </w:pPr>
            <w:r w:rsidRPr="00271C22">
              <w:rPr>
                <w:rFonts w:ascii="Times New Roman" w:eastAsiaTheme="minorEastAsia" w:hAnsi="Times New Roman" w:cs="Times New Roman"/>
              </w:rPr>
              <w:t>15</w:t>
            </w:r>
          </w:p>
        </w:tc>
      </w:tr>
    </w:tbl>
    <w:p w14:paraId="3EA17BDB" w14:textId="48F849E0" w:rsidR="000E0568" w:rsidRPr="00271C22" w:rsidRDefault="00652ED8" w:rsidP="00271C22">
      <w:pPr>
        <w:pStyle w:val="Sarakstarindkopa"/>
        <w:numPr>
          <w:ilvl w:val="0"/>
          <w:numId w:val="1"/>
        </w:numPr>
        <w:spacing w:before="120" w:after="120"/>
        <w:ind w:left="426" w:hanging="357"/>
        <w:contextualSpacing w:val="0"/>
        <w:jc w:val="both"/>
        <w:rPr>
          <w:rFonts w:ascii="Times New Roman" w:eastAsiaTheme="minorEastAsia" w:hAnsi="Times New Roman" w:cs="Times New Roman"/>
        </w:rPr>
      </w:pPr>
      <w:r w:rsidRPr="00271C22">
        <w:rPr>
          <w:rFonts w:ascii="Times New Roman" w:eastAsiaTheme="minorEastAsia" w:hAnsi="Times New Roman" w:cs="Times New Roman"/>
        </w:rPr>
        <w:t>Gan 1. tabulā, gan 2. tabulā esošie dati parāda, ka jaunveidotajai vispārējās vidējās izglītības iestādei ar mērķtiecīgu darbu var panākt Noteikumos definētās prasības – 60 skolēni 10. – 12. klašu posmā līdz 2027./28 mācību gada beigām.</w:t>
      </w:r>
    </w:p>
    <w:sectPr w:rsidR="000E0568" w:rsidRPr="00271C22" w:rsidSect="00271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9FD66" w14:textId="77777777" w:rsidR="00F47F94" w:rsidRDefault="00F47F94" w:rsidP="009D43D2">
      <w:pPr>
        <w:spacing w:after="0" w:line="240" w:lineRule="auto"/>
      </w:pPr>
      <w:r>
        <w:separator/>
      </w:r>
    </w:p>
  </w:endnote>
  <w:endnote w:type="continuationSeparator" w:id="0">
    <w:p w14:paraId="479D0E18" w14:textId="77777777" w:rsidR="00F47F94" w:rsidRDefault="00F47F94" w:rsidP="009D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F73F1" w14:textId="77777777" w:rsidR="00F47F94" w:rsidRDefault="00F47F94" w:rsidP="009D43D2">
      <w:pPr>
        <w:spacing w:after="0" w:line="240" w:lineRule="auto"/>
      </w:pPr>
      <w:r>
        <w:separator/>
      </w:r>
    </w:p>
  </w:footnote>
  <w:footnote w:type="continuationSeparator" w:id="0">
    <w:p w14:paraId="3F4161F8" w14:textId="77777777" w:rsidR="00F47F94" w:rsidRDefault="00F47F94" w:rsidP="009D4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A5E86"/>
    <w:multiLevelType w:val="hybridMultilevel"/>
    <w:tmpl w:val="8C52C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450595"/>
    <w:multiLevelType w:val="hybridMultilevel"/>
    <w:tmpl w:val="A1DA9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242C02"/>
    <w:multiLevelType w:val="hybridMultilevel"/>
    <w:tmpl w:val="1DFEDC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931EEB"/>
    <w:multiLevelType w:val="hybridMultilevel"/>
    <w:tmpl w:val="79C26E94"/>
    <w:lvl w:ilvl="0" w:tplc="408EF0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FC045AA"/>
    <w:multiLevelType w:val="hybridMultilevel"/>
    <w:tmpl w:val="A1DA91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D2"/>
    <w:rsid w:val="000E0568"/>
    <w:rsid w:val="00271C22"/>
    <w:rsid w:val="00283C2E"/>
    <w:rsid w:val="004D7B67"/>
    <w:rsid w:val="00613CFF"/>
    <w:rsid w:val="00652ED8"/>
    <w:rsid w:val="0069175C"/>
    <w:rsid w:val="006C3C1D"/>
    <w:rsid w:val="00886806"/>
    <w:rsid w:val="008C162E"/>
    <w:rsid w:val="00923C4A"/>
    <w:rsid w:val="009D43D2"/>
    <w:rsid w:val="00A07179"/>
    <w:rsid w:val="00B2717F"/>
    <w:rsid w:val="00CB0E24"/>
    <w:rsid w:val="00CE1BC9"/>
    <w:rsid w:val="00D57FE2"/>
    <w:rsid w:val="00F04132"/>
    <w:rsid w:val="00F47F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073B2"/>
  <w15:chartTrackingRefBased/>
  <w15:docId w15:val="{C89DD5CE-2C50-4FCB-9D97-8FBBCC3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9D4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D4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D43D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D43D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D43D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D43D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43D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D43D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43D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43D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D43D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D43D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D43D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D43D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D43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43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D43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43D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D4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43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43D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43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D43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43D2"/>
    <w:rPr>
      <w:i/>
      <w:iCs/>
      <w:color w:val="404040" w:themeColor="text1" w:themeTint="BF"/>
    </w:rPr>
  </w:style>
  <w:style w:type="paragraph" w:styleId="Sarakstarindkopa">
    <w:name w:val="List Paragraph"/>
    <w:basedOn w:val="Parasts"/>
    <w:uiPriority w:val="34"/>
    <w:qFormat/>
    <w:rsid w:val="009D43D2"/>
    <w:pPr>
      <w:ind w:left="720"/>
      <w:contextualSpacing/>
    </w:pPr>
  </w:style>
  <w:style w:type="character" w:styleId="Intensvsizclums">
    <w:name w:val="Intense Emphasis"/>
    <w:basedOn w:val="Noklusjumarindkopasfonts"/>
    <w:uiPriority w:val="21"/>
    <w:qFormat/>
    <w:rsid w:val="009D43D2"/>
    <w:rPr>
      <w:i/>
      <w:iCs/>
      <w:color w:val="2F5496" w:themeColor="accent1" w:themeShade="BF"/>
    </w:rPr>
  </w:style>
  <w:style w:type="paragraph" w:styleId="Intensvscitts">
    <w:name w:val="Intense Quote"/>
    <w:basedOn w:val="Parasts"/>
    <w:next w:val="Parasts"/>
    <w:link w:val="IntensvscittsRakstz"/>
    <w:uiPriority w:val="30"/>
    <w:qFormat/>
    <w:rsid w:val="009D4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D43D2"/>
    <w:rPr>
      <w:i/>
      <w:iCs/>
      <w:color w:val="2F5496" w:themeColor="accent1" w:themeShade="BF"/>
    </w:rPr>
  </w:style>
  <w:style w:type="character" w:styleId="Intensvaatsauce">
    <w:name w:val="Intense Reference"/>
    <w:basedOn w:val="Noklusjumarindkopasfonts"/>
    <w:uiPriority w:val="32"/>
    <w:qFormat/>
    <w:rsid w:val="009D43D2"/>
    <w:rPr>
      <w:b/>
      <w:bCs/>
      <w:smallCaps/>
      <w:color w:val="2F5496" w:themeColor="accent1" w:themeShade="BF"/>
      <w:spacing w:val="5"/>
    </w:rPr>
  </w:style>
  <w:style w:type="paragraph" w:styleId="Galvene">
    <w:name w:val="header"/>
    <w:basedOn w:val="Parasts"/>
    <w:link w:val="GalveneRakstz"/>
    <w:uiPriority w:val="99"/>
    <w:unhideWhenUsed/>
    <w:rsid w:val="009D43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43D2"/>
  </w:style>
  <w:style w:type="paragraph" w:styleId="Kjene">
    <w:name w:val="footer"/>
    <w:basedOn w:val="Parasts"/>
    <w:link w:val="KjeneRakstz"/>
    <w:uiPriority w:val="99"/>
    <w:unhideWhenUsed/>
    <w:rsid w:val="009D43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43D2"/>
  </w:style>
  <w:style w:type="character" w:styleId="Vietturateksts">
    <w:name w:val="Placeholder Text"/>
    <w:basedOn w:val="Noklusjumarindkopasfonts"/>
    <w:uiPriority w:val="99"/>
    <w:semiHidden/>
    <w:rsid w:val="009D43D2"/>
    <w:rPr>
      <w:color w:val="666666"/>
    </w:rPr>
  </w:style>
  <w:style w:type="character" w:styleId="Hipersaite">
    <w:name w:val="Hyperlink"/>
    <w:basedOn w:val="Noklusjumarindkopasfonts"/>
    <w:uiPriority w:val="99"/>
    <w:unhideWhenUsed/>
    <w:rsid w:val="009D43D2"/>
    <w:rPr>
      <w:color w:val="0563C1" w:themeColor="hyperlink"/>
      <w:u w:val="single"/>
    </w:rPr>
  </w:style>
  <w:style w:type="character" w:customStyle="1" w:styleId="UnresolvedMention">
    <w:name w:val="Unresolved Mention"/>
    <w:basedOn w:val="Noklusjumarindkopasfonts"/>
    <w:uiPriority w:val="99"/>
    <w:semiHidden/>
    <w:unhideWhenUsed/>
    <w:rsid w:val="009D43D2"/>
    <w:rPr>
      <w:color w:val="605E5C"/>
      <w:shd w:val="clear" w:color="auto" w:fill="E1DFDD"/>
    </w:rPr>
  </w:style>
  <w:style w:type="table" w:styleId="Reatabula">
    <w:name w:val="Table Grid"/>
    <w:basedOn w:val="Parastatabula"/>
    <w:uiPriority w:val="39"/>
    <w:rsid w:val="004D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2717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7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kumi.lv/ta/id/3582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2529</Words>
  <Characters>1442</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Grigorjevs</dc:creator>
  <cp:keywords/>
  <dc:description/>
  <cp:lastModifiedBy>Santa Hermane</cp:lastModifiedBy>
  <cp:revision>2</cp:revision>
  <cp:lastPrinted>2025-12-02T14:59:00Z</cp:lastPrinted>
  <dcterms:created xsi:type="dcterms:W3CDTF">2025-12-02T14:59:00Z</dcterms:created>
  <dcterms:modified xsi:type="dcterms:W3CDTF">2025-12-02T14:59:00Z</dcterms:modified>
</cp:coreProperties>
</file>