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proofErr w:type="spellStart"/>
      <w:r w:rsidR="00AB5256">
        <w:t>O.Ercens</w:t>
      </w:r>
      <w:proofErr w:type="spellEnd"/>
    </w:p>
    <w:p w14:paraId="3720FD1F" w14:textId="67E3E7E6" w:rsidR="00191DED" w:rsidRPr="008373C4" w:rsidRDefault="00B1060F" w:rsidP="00191DED">
      <w:pPr>
        <w:pStyle w:val="BodyText2"/>
        <w:ind w:right="5528"/>
        <w:jc w:val="left"/>
      </w:pPr>
      <w:r>
        <w:t>Ogrē, 202</w:t>
      </w:r>
      <w:r w:rsidR="00F47B42">
        <w:t>6</w:t>
      </w:r>
      <w:r>
        <w:t>.</w:t>
      </w:r>
      <w:r w:rsidR="005D636B">
        <w:t xml:space="preserve"> </w:t>
      </w:r>
      <w:r>
        <w:t xml:space="preserve">gada </w:t>
      </w:r>
      <w:r w:rsidR="005F3F91">
        <w:t>13.</w:t>
      </w:r>
      <w:r w:rsidR="00F47B42">
        <w:t>janvārī</w:t>
      </w:r>
    </w:p>
    <w:p w14:paraId="775E2A94" w14:textId="2D444C6E" w:rsidR="00191DED" w:rsidRPr="008373C4" w:rsidRDefault="008C0AF1" w:rsidP="00191DED">
      <w:pPr>
        <w:pStyle w:val="BodyText2"/>
        <w:ind w:right="5528"/>
        <w:jc w:val="left"/>
      </w:pPr>
      <w:r>
        <w:t>Nr.</w:t>
      </w:r>
      <w:r w:rsidR="006B30ED" w:rsidRPr="006B30ED">
        <w:t xml:space="preserve"> K</w:t>
      </w:r>
      <w:r w:rsidR="00F47B42">
        <w:t>O 14/</w:t>
      </w:r>
      <w:r w:rsidR="005F3F91">
        <w:t>4</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3160994F" w:rsidR="00601B9A" w:rsidRPr="008373C4" w:rsidRDefault="00F47B42" w:rsidP="00F65892">
      <w:pPr>
        <w:pStyle w:val="BodyText2"/>
        <w:jc w:val="center"/>
        <w:rPr>
          <w:b/>
          <w:bCs/>
          <w:color w:val="000000"/>
          <w:spacing w:val="1"/>
          <w:lang w:eastAsia="lv-LV"/>
        </w:rPr>
      </w:pPr>
      <w:r w:rsidRPr="00F47B42">
        <w:rPr>
          <w:b/>
          <w:bCs/>
          <w:color w:val="000000"/>
          <w:spacing w:val="1"/>
          <w:lang w:eastAsia="lv-LV"/>
        </w:rPr>
        <w:t>“Pērles”- 2,  Suntaži, Suntažu pag</w:t>
      </w:r>
      <w:r w:rsidR="00C03E60">
        <w:rPr>
          <w:b/>
          <w:bCs/>
          <w:color w:val="000000"/>
          <w:spacing w:val="1"/>
          <w:lang w:eastAsia="lv-LV"/>
        </w:rPr>
        <w:t>asts</w:t>
      </w:r>
      <w:r w:rsidRPr="00F47B42">
        <w:rPr>
          <w:b/>
          <w:bCs/>
          <w:color w:val="000000"/>
          <w:spacing w:val="1"/>
          <w:lang w:eastAsia="lv-LV"/>
        </w:rPr>
        <w:t>, Ogres nov</w:t>
      </w:r>
      <w:r>
        <w:rPr>
          <w:b/>
          <w:bCs/>
          <w:color w:val="000000"/>
          <w:spacing w:val="1"/>
          <w:lang w:eastAsia="lv-LV"/>
        </w:rPr>
        <w:t xml:space="preserve">ads </w:t>
      </w:r>
      <w:r w:rsidR="001D6F35">
        <w:rPr>
          <w:b/>
          <w:bCs/>
          <w:color w:val="000000"/>
          <w:spacing w:val="1"/>
          <w:lang w:eastAsia="lv-LV"/>
        </w:rPr>
        <w:t>a</w:t>
      </w:r>
      <w:r w:rsidR="001D6F35" w:rsidRPr="001D6F35">
        <w:rPr>
          <w:b/>
          <w:bCs/>
          <w:color w:val="000000"/>
          <w:spacing w:val="1"/>
          <w:lang w:eastAsia="lv-LV"/>
        </w:rPr>
        <w:t>tsavināšanas</w:t>
      </w:r>
    </w:p>
    <w:p w14:paraId="75C91EC8" w14:textId="4C4887B7" w:rsidR="00DE36D2" w:rsidRPr="008373C4" w:rsidRDefault="00C67A35"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421B9BA9" w14:textId="77777777" w:rsidR="00DE36D2" w:rsidRPr="008373C4" w:rsidRDefault="00DE36D2" w:rsidP="00DE36D2">
      <w:pPr>
        <w:pStyle w:val="ListParagraph"/>
        <w:numPr>
          <w:ilvl w:val="0"/>
          <w:numId w:val="1"/>
        </w:numPr>
        <w:jc w:val="both"/>
        <w:rPr>
          <w:b/>
          <w:bCs/>
          <w:lang w:val="lv-LV"/>
        </w:rPr>
      </w:pPr>
      <w:r w:rsidRPr="008373C4">
        <w:rPr>
          <w:b/>
          <w:bCs/>
          <w:lang w:val="lv-LV"/>
        </w:rPr>
        <w:t>Vispārīgie noteikumi</w:t>
      </w:r>
    </w:p>
    <w:p w14:paraId="382F81C7" w14:textId="742C65DB" w:rsidR="00DE36D2" w:rsidRPr="008373C4" w:rsidRDefault="00826376" w:rsidP="008373C4">
      <w:pPr>
        <w:pStyle w:val="ListParagraph"/>
        <w:numPr>
          <w:ilvl w:val="1"/>
          <w:numId w:val="1"/>
        </w:numPr>
        <w:autoSpaceDE w:val="0"/>
        <w:autoSpaceDN w:val="0"/>
        <w:adjustRightInd w:val="0"/>
        <w:ind w:left="567" w:hanging="567"/>
        <w:jc w:val="both"/>
        <w:rPr>
          <w:lang w:val="lv-LV"/>
        </w:rPr>
      </w:pPr>
      <w:r w:rsidRPr="00826376">
        <w:rPr>
          <w:color w:val="000000"/>
          <w:spacing w:val="1"/>
          <w:lang w:val="lv-LV" w:eastAsia="lv-LV"/>
        </w:rPr>
        <w:t>Ogres novada pašvaldībai piederoš</w:t>
      </w:r>
      <w:r w:rsidR="00C03E60">
        <w:rPr>
          <w:color w:val="000000"/>
          <w:spacing w:val="1"/>
          <w:lang w:val="lv-LV" w:eastAsia="lv-LV"/>
        </w:rPr>
        <w:t>ā</w:t>
      </w:r>
      <w:r w:rsidRPr="00826376">
        <w:rPr>
          <w:color w:val="000000"/>
          <w:spacing w:val="1"/>
          <w:lang w:val="lv-LV" w:eastAsia="lv-LV"/>
        </w:rPr>
        <w:t xml:space="preserve"> nekustam</w:t>
      </w:r>
      <w:r w:rsidR="00C03E60">
        <w:rPr>
          <w:color w:val="000000"/>
          <w:spacing w:val="1"/>
          <w:lang w:val="lv-LV" w:eastAsia="lv-LV"/>
        </w:rPr>
        <w:t>ā</w:t>
      </w:r>
      <w:r w:rsidRPr="00826376">
        <w:rPr>
          <w:color w:val="000000"/>
          <w:spacing w:val="1"/>
          <w:lang w:val="lv-LV" w:eastAsia="lv-LV"/>
        </w:rPr>
        <w:t xml:space="preserve"> īpašum</w:t>
      </w:r>
      <w:r w:rsidR="00C03E60">
        <w:rPr>
          <w:color w:val="000000"/>
          <w:spacing w:val="1"/>
          <w:lang w:val="lv-LV" w:eastAsia="lv-LV"/>
        </w:rPr>
        <w:t>a</w:t>
      </w:r>
      <w:r w:rsidRPr="00826376">
        <w:rPr>
          <w:color w:val="000000"/>
          <w:spacing w:val="1"/>
          <w:lang w:val="lv-LV" w:eastAsia="lv-LV"/>
        </w:rPr>
        <w:t xml:space="preserve"> </w:t>
      </w:r>
      <w:r w:rsidR="00FE4EE7" w:rsidRPr="00FE4EE7">
        <w:rPr>
          <w:color w:val="000000"/>
          <w:spacing w:val="1"/>
          <w:lang w:val="lv-LV" w:eastAsia="lv-LV"/>
        </w:rPr>
        <w:t>“Pērles”-2, Suntaži, Suntažu pag., Ogres nov., kadastra numurs 7488 900 0398, kas sastāv no dzīvokļa Nr. 2 ar kopējo platību 54,10 m</w:t>
      </w:r>
      <w:r w:rsidR="00C03E60">
        <w:rPr>
          <w:color w:val="000000"/>
          <w:spacing w:val="1"/>
          <w:lang w:val="lv-LV" w:eastAsia="lv-LV"/>
        </w:rPr>
        <w:t>²</w:t>
      </w:r>
      <w:r w:rsidR="00FE4EE7" w:rsidRPr="00FE4EE7">
        <w:rPr>
          <w:color w:val="000000"/>
          <w:spacing w:val="1"/>
          <w:lang w:val="lv-LV" w:eastAsia="lv-LV"/>
        </w:rPr>
        <w:t>, kopīpašuma 5410/8940 domājamām daļām no būvēm ar kadastra apzīmējumiem: 7488 003 0289 001, 7488 003 0289 002, un zemes ar kadastra apzīmējumu 7488 003 0289</w:t>
      </w:r>
      <w:r w:rsidR="00283169" w:rsidRPr="00283169">
        <w:rPr>
          <w:color w:val="000000"/>
          <w:spacing w:val="1"/>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222DC7A9" w:rsidR="002630CF" w:rsidRPr="008373C4" w:rsidRDefault="002630CF" w:rsidP="006E3DEF">
      <w:pPr>
        <w:pStyle w:val="BodyText"/>
        <w:numPr>
          <w:ilvl w:val="1"/>
          <w:numId w:val="1"/>
        </w:numPr>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00DD2FD4">
        <w:t xml:space="preserve"> </w:t>
      </w:r>
      <w:r w:rsidR="00DD2FD4" w:rsidRPr="00DD2FD4">
        <w:t>saskaņā ar Ogres novada pašvaldības domes 2025.</w:t>
      </w:r>
      <w:r w:rsidR="00A32C8E">
        <w:t xml:space="preserve"> </w:t>
      </w:r>
      <w:r w:rsidR="00DD2FD4" w:rsidRPr="00DD2FD4">
        <w:t xml:space="preserve">gada </w:t>
      </w:r>
      <w:r w:rsidR="00FE4EE7">
        <w:t>18.decembra</w:t>
      </w:r>
      <w:r w:rsidR="00DD2FD4" w:rsidRPr="00DD2FD4">
        <w:t xml:space="preserve"> lēmumu “Par nosacītās cenas apstiprināšanu nekustamajam īpašumam </w:t>
      </w:r>
      <w:r w:rsidR="00FE4EE7" w:rsidRPr="00FE4EE7">
        <w:t>“Pērles”-2, Suntaži, Suntažu pag., Ogres nov</w:t>
      </w:r>
      <w:r w:rsidR="00C03E60">
        <w:t>.”</w:t>
      </w:r>
      <w:r w:rsidR="00DD2FD4" w:rsidRPr="00DD2FD4">
        <w:t xml:space="preserve"> (protokola izraksts Nr.1</w:t>
      </w:r>
      <w:r w:rsidR="00FE4EE7">
        <w:t>4</w:t>
      </w:r>
      <w:r w:rsidR="00DD2FD4" w:rsidRPr="00DD2FD4">
        <w:t xml:space="preserve">, </w:t>
      </w:r>
      <w:r w:rsidR="00FE4EE7">
        <w:t>10</w:t>
      </w:r>
      <w:r w:rsidR="00DD2FD4" w:rsidRPr="00DD2FD4">
        <w:t>).</w:t>
      </w:r>
    </w:p>
    <w:p w14:paraId="27746DEC" w14:textId="77777777" w:rsidR="0059025D" w:rsidRPr="008373C4" w:rsidRDefault="0059025D" w:rsidP="0059025D">
      <w:pPr>
        <w:pStyle w:val="BodyText"/>
        <w:numPr>
          <w:ilvl w:val="1"/>
          <w:numId w:val="1"/>
        </w:numPr>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BodyText"/>
        <w:numPr>
          <w:ilvl w:val="1"/>
          <w:numId w:val="1"/>
        </w:numPr>
        <w:ind w:left="567" w:right="0" w:hanging="567"/>
      </w:pPr>
      <w:r w:rsidRPr="008373C4">
        <w:t>Izsoles kārta:</w:t>
      </w:r>
      <w:r w:rsidRPr="008373C4">
        <w:rPr>
          <w:b/>
          <w:bCs/>
        </w:rPr>
        <w:t xml:space="preserve"> 1. (pirmā)</w:t>
      </w:r>
      <w:r w:rsidR="005605A9" w:rsidRPr="005E436C">
        <w:t>.</w:t>
      </w:r>
    </w:p>
    <w:p w14:paraId="76888014" w14:textId="78D40E87" w:rsidR="0059025D" w:rsidRPr="0002174B" w:rsidRDefault="0059025D" w:rsidP="0059025D">
      <w:pPr>
        <w:pStyle w:val="BodyText"/>
        <w:numPr>
          <w:ilvl w:val="1"/>
          <w:numId w:val="1"/>
        </w:numPr>
        <w:ind w:left="567" w:right="0" w:hanging="567"/>
      </w:pPr>
      <w:bookmarkStart w:id="0" w:name="_Ref83744661"/>
      <w:r w:rsidRPr="0002174B">
        <w:t>Izsole sākas elektronisko</w:t>
      </w:r>
      <w:r w:rsidR="00AA1646" w:rsidRPr="0002174B">
        <w:t xml:space="preserve"> </w:t>
      </w:r>
      <w:r w:rsidRPr="0002174B">
        <w:t xml:space="preserve">izsoļu vietnē </w:t>
      </w:r>
      <w:hyperlink r:id="rId8" w:history="1">
        <w:r w:rsidRPr="0002174B">
          <w:rPr>
            <w:rStyle w:val="Hyperlink"/>
            <w:color w:val="auto"/>
          </w:rPr>
          <w:t>https://izsoles.ta.gov.lv</w:t>
        </w:r>
      </w:hyperlink>
      <w:r w:rsidR="00AA1646" w:rsidRPr="0002174B">
        <w:t xml:space="preserve"> </w:t>
      </w:r>
      <w:r w:rsidR="0031351F">
        <w:rPr>
          <w:b/>
          <w:bCs/>
        </w:rPr>
        <w:t>16.01</w:t>
      </w:r>
      <w:r w:rsidR="00886FF1" w:rsidRPr="0002174B">
        <w:rPr>
          <w:b/>
          <w:bCs/>
        </w:rPr>
        <w:t>.202</w:t>
      </w:r>
      <w:r w:rsidR="0031351F">
        <w:rPr>
          <w:b/>
          <w:bCs/>
        </w:rPr>
        <w:t>6</w:t>
      </w:r>
      <w:r w:rsidR="00C67A35" w:rsidRPr="0002174B">
        <w:rPr>
          <w:b/>
          <w:bCs/>
        </w:rPr>
        <w:t>.</w:t>
      </w:r>
      <w:r w:rsidRPr="0002174B">
        <w:rPr>
          <w:b/>
          <w:bCs/>
        </w:rPr>
        <w:t xml:space="preserve"> plkst.</w:t>
      </w:r>
      <w:r w:rsidR="005D636B" w:rsidRPr="0002174B">
        <w:rPr>
          <w:b/>
          <w:bCs/>
        </w:rPr>
        <w:t> </w:t>
      </w:r>
      <w:r w:rsidRPr="0002174B">
        <w:rPr>
          <w:b/>
          <w:bCs/>
        </w:rPr>
        <w:t>13:00 un noslēdzas</w:t>
      </w:r>
      <w:r w:rsidR="00DD793A" w:rsidRPr="0002174B">
        <w:rPr>
          <w:b/>
          <w:bCs/>
        </w:rPr>
        <w:t xml:space="preserve"> </w:t>
      </w:r>
      <w:r w:rsidR="0031351F">
        <w:rPr>
          <w:b/>
          <w:bCs/>
        </w:rPr>
        <w:t>16.02</w:t>
      </w:r>
      <w:r w:rsidR="001106DE" w:rsidRPr="0002174B">
        <w:rPr>
          <w:b/>
          <w:bCs/>
        </w:rPr>
        <w:t>.</w:t>
      </w:r>
      <w:r w:rsidRPr="0002174B">
        <w:rPr>
          <w:b/>
          <w:bCs/>
        </w:rPr>
        <w:t>202</w:t>
      </w:r>
      <w:r w:rsidR="0002174B" w:rsidRPr="0002174B">
        <w:rPr>
          <w:b/>
          <w:bCs/>
        </w:rPr>
        <w:t>6</w:t>
      </w:r>
      <w:r w:rsidR="00E87053" w:rsidRPr="0002174B">
        <w:rPr>
          <w:b/>
          <w:bCs/>
        </w:rPr>
        <w:t>.</w:t>
      </w:r>
      <w:r w:rsidRPr="0002174B">
        <w:rPr>
          <w:b/>
          <w:bCs/>
        </w:rPr>
        <w:t xml:space="preserve"> plkst.</w:t>
      </w:r>
      <w:r w:rsidR="005D636B" w:rsidRPr="0002174B">
        <w:rPr>
          <w:b/>
          <w:bCs/>
        </w:rPr>
        <w:t> </w:t>
      </w:r>
      <w:r w:rsidRPr="0002174B">
        <w:rPr>
          <w:b/>
          <w:bCs/>
        </w:rPr>
        <w:t>13:00</w:t>
      </w:r>
      <w:r w:rsidRPr="0002174B">
        <w:t>.</w:t>
      </w:r>
      <w:bookmarkEnd w:id="0"/>
    </w:p>
    <w:p w14:paraId="6DA667A3" w14:textId="3EA1B72B" w:rsidR="0059025D" w:rsidRPr="0002174B" w:rsidRDefault="0059025D" w:rsidP="0059025D">
      <w:pPr>
        <w:pStyle w:val="BodyText"/>
        <w:numPr>
          <w:ilvl w:val="1"/>
          <w:numId w:val="1"/>
        </w:numPr>
        <w:ind w:left="567" w:right="0" w:hanging="567"/>
      </w:pPr>
      <w:r w:rsidRPr="0002174B">
        <w:t xml:space="preserve">Pieteikšanās izsolei </w:t>
      </w:r>
      <w:r w:rsidRPr="0002174B">
        <w:rPr>
          <w:b/>
          <w:bCs/>
        </w:rPr>
        <w:t xml:space="preserve">līdz </w:t>
      </w:r>
      <w:r w:rsidR="0031351F">
        <w:rPr>
          <w:b/>
          <w:bCs/>
        </w:rPr>
        <w:t>05.02</w:t>
      </w:r>
      <w:r w:rsidR="000E193F" w:rsidRPr="0002174B">
        <w:rPr>
          <w:b/>
          <w:bCs/>
        </w:rPr>
        <w:t>.</w:t>
      </w:r>
      <w:r w:rsidRPr="0002174B">
        <w:rPr>
          <w:b/>
          <w:bCs/>
        </w:rPr>
        <w:t>202</w:t>
      </w:r>
      <w:r w:rsidR="0002174B" w:rsidRPr="0002174B">
        <w:rPr>
          <w:b/>
          <w:bCs/>
        </w:rPr>
        <w:t>6</w:t>
      </w:r>
      <w:r w:rsidR="00C67A35" w:rsidRPr="0002174B">
        <w:rPr>
          <w:b/>
          <w:bCs/>
        </w:rPr>
        <w:t>.</w:t>
      </w:r>
      <w:r w:rsidRPr="0002174B">
        <w:rPr>
          <w:b/>
          <w:bCs/>
        </w:rPr>
        <w:t xml:space="preserve"> plkst. 23:59</w:t>
      </w:r>
      <w:r w:rsidRPr="0002174B">
        <w:t>.</w:t>
      </w:r>
    </w:p>
    <w:p w14:paraId="0FF1B70C" w14:textId="0534ADAA" w:rsidR="00ED4755" w:rsidRPr="0002174B" w:rsidRDefault="0059025D" w:rsidP="00ED4755">
      <w:pPr>
        <w:pStyle w:val="BodyText"/>
        <w:numPr>
          <w:ilvl w:val="1"/>
          <w:numId w:val="1"/>
        </w:numPr>
        <w:ind w:left="567" w:right="0" w:hanging="567"/>
      </w:pPr>
      <w:r w:rsidRPr="0002174B">
        <w:t>No</w:t>
      </w:r>
      <w:r w:rsidR="00B8209E" w:rsidRPr="0002174B">
        <w:t>solītās summas apmaksas termiņš</w:t>
      </w:r>
      <w:r w:rsidR="00B8209E" w:rsidRPr="0002174B">
        <w:rPr>
          <w:b/>
          <w:bCs/>
        </w:rPr>
        <w:t xml:space="preserve"> </w:t>
      </w:r>
      <w:r w:rsidR="0031351F">
        <w:rPr>
          <w:b/>
          <w:bCs/>
        </w:rPr>
        <w:t>02.03</w:t>
      </w:r>
      <w:r w:rsidR="00B67870" w:rsidRPr="0002174B">
        <w:rPr>
          <w:b/>
          <w:bCs/>
        </w:rPr>
        <w:t>.</w:t>
      </w:r>
      <w:r w:rsidRPr="0002174B">
        <w:rPr>
          <w:b/>
          <w:bCs/>
        </w:rPr>
        <w:t>202</w:t>
      </w:r>
      <w:r w:rsidR="0002174B" w:rsidRPr="0002174B">
        <w:rPr>
          <w:b/>
          <w:bCs/>
        </w:rPr>
        <w:t>6</w:t>
      </w:r>
      <w:r w:rsidRPr="0002174B">
        <w:t>.</w:t>
      </w:r>
    </w:p>
    <w:p w14:paraId="69A99AAB" w14:textId="013BB288" w:rsidR="007A1ED9" w:rsidRPr="00283169" w:rsidRDefault="00ED4755" w:rsidP="0031351F">
      <w:pPr>
        <w:pStyle w:val="BodyText"/>
        <w:numPr>
          <w:ilvl w:val="1"/>
          <w:numId w:val="1"/>
        </w:numPr>
        <w:ind w:left="567" w:right="0" w:hanging="567"/>
        <w:rPr>
          <w:b/>
          <w:bCs/>
        </w:rPr>
      </w:pPr>
      <w:r w:rsidRPr="00ED4755">
        <w:t xml:space="preserve">Nekustamā īpašuma izsoles nosacītā cena (sākumcena) – </w:t>
      </w:r>
      <w:bookmarkStart w:id="1" w:name="_Ref66806668"/>
      <w:r w:rsidR="0031351F" w:rsidRPr="0031351F">
        <w:rPr>
          <w:b/>
          <w:bCs/>
        </w:rPr>
        <w:t>5874</w:t>
      </w:r>
      <w:r w:rsidR="00C03E60">
        <w:rPr>
          <w:b/>
          <w:bCs/>
        </w:rPr>
        <w:t>,00</w:t>
      </w:r>
      <w:r w:rsidR="0031351F" w:rsidRPr="0031351F">
        <w:t xml:space="preserve"> </w:t>
      </w:r>
      <w:r w:rsidR="0031351F" w:rsidRPr="00C03E60">
        <w:rPr>
          <w:b/>
          <w:bCs/>
        </w:rPr>
        <w:t xml:space="preserve">EUR (pieci tūkstoši astoņi simti septiņdesmit četri </w:t>
      </w:r>
      <w:proofErr w:type="spellStart"/>
      <w:r w:rsidR="0031351F" w:rsidRPr="00C03E60">
        <w:rPr>
          <w:b/>
          <w:bCs/>
          <w:i/>
          <w:iCs/>
        </w:rPr>
        <w:t>euro</w:t>
      </w:r>
      <w:proofErr w:type="spellEnd"/>
      <w:r w:rsidR="00C03E60">
        <w:rPr>
          <w:b/>
          <w:bCs/>
        </w:rPr>
        <w:t>, 00 centi</w:t>
      </w:r>
      <w:r w:rsidR="0031351F" w:rsidRPr="00C03E60">
        <w:rPr>
          <w:b/>
          <w:bCs/>
        </w:rPr>
        <w:t>)</w:t>
      </w:r>
      <w:r w:rsidR="0031351F">
        <w:t>.</w:t>
      </w:r>
    </w:p>
    <w:p w14:paraId="3683D393" w14:textId="5D5C5A13" w:rsidR="005D636B" w:rsidRPr="00F60180" w:rsidRDefault="002630CF" w:rsidP="005D636B">
      <w:pPr>
        <w:pStyle w:val="BodyText"/>
        <w:numPr>
          <w:ilvl w:val="1"/>
          <w:numId w:val="1"/>
        </w:numPr>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31351F">
        <w:rPr>
          <w:b/>
        </w:rPr>
        <w:t>587</w:t>
      </w:r>
      <w:r w:rsidR="00270108">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31351F">
        <w:rPr>
          <w:bCs/>
        </w:rPr>
        <w:t>pieci simti astoņdesmit septiņi</w:t>
      </w:r>
      <w:r w:rsidR="00283169">
        <w:rPr>
          <w:bCs/>
        </w:rPr>
        <w:t xml:space="preserve"> </w:t>
      </w:r>
      <w:proofErr w:type="spellStart"/>
      <w:r w:rsidR="00886FF1" w:rsidRPr="00270108">
        <w:rPr>
          <w:bCs/>
          <w:i/>
          <w:iCs/>
        </w:rPr>
        <w:t>eur</w:t>
      </w:r>
      <w:r w:rsidR="002136A2" w:rsidRPr="00270108">
        <w:rPr>
          <w:bCs/>
          <w:i/>
          <w:iCs/>
        </w:rPr>
        <w:t>o</w:t>
      </w:r>
      <w:proofErr w:type="spellEnd"/>
      <w:r w:rsidR="00270108">
        <w:rPr>
          <w:bCs/>
        </w:rPr>
        <w:t xml:space="preserve">, </w:t>
      </w:r>
      <w:r w:rsidR="00270108" w:rsidRPr="00270108">
        <w:t>00</w:t>
      </w:r>
      <w:r w:rsidR="00270108" w:rsidRPr="005D636B">
        <w:rPr>
          <w:iCs/>
        </w:rPr>
        <w:t xml:space="preserve"> centi</w:t>
      </w:r>
      <w:r w:rsidR="003E3F4A" w:rsidRPr="008373C4">
        <w:t>)</w:t>
      </w:r>
      <w:r w:rsidR="009F0856" w:rsidRPr="005D636B">
        <w:rPr>
          <w:bCs/>
        </w:rPr>
        <w:t xml:space="preserve"> </w:t>
      </w:r>
      <w:r w:rsidR="00321C7D" w:rsidRPr="008373C4">
        <w:t>–</w:t>
      </w:r>
      <w:r w:rsidR="00270108">
        <w:t xml:space="preserve"> </w:t>
      </w:r>
      <w:r w:rsidR="000A281C" w:rsidRPr="008373C4">
        <w:t>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Nekustamā īpašuma</w:t>
      </w:r>
      <w:r w:rsidR="0031351F">
        <w:rPr>
          <w:shd w:val="clear" w:color="auto" w:fill="FFFFFF"/>
        </w:rPr>
        <w:t xml:space="preserve"> </w:t>
      </w:r>
      <w:r w:rsidR="0031351F" w:rsidRPr="0031351F">
        <w:rPr>
          <w:shd w:val="clear" w:color="auto" w:fill="FFFFFF"/>
        </w:rPr>
        <w:t>“Pērles”- 2,</w:t>
      </w:r>
      <w:r w:rsidR="00C03E60">
        <w:rPr>
          <w:shd w:val="clear" w:color="auto" w:fill="FFFFFF"/>
        </w:rPr>
        <w:t xml:space="preserve"> </w:t>
      </w:r>
      <w:r w:rsidR="0031351F" w:rsidRPr="0031351F">
        <w:rPr>
          <w:shd w:val="clear" w:color="auto" w:fill="FFFFFF"/>
        </w:rPr>
        <w:t>Suntaži, Suntažu pag., Ogres nov</w:t>
      </w:r>
      <w:r w:rsidR="00C03E60">
        <w:rPr>
          <w:shd w:val="clear" w:color="auto" w:fill="FFFFFF"/>
        </w:rPr>
        <w:t>.</w:t>
      </w:r>
      <w:r w:rsidR="009337CF" w:rsidRPr="009337CF">
        <w:t xml:space="preserve">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1"/>
      <w:r w:rsidR="005D636B" w:rsidRPr="00F60180">
        <w:t>Nodrošinājuma nauda uzskatāma par ieskaitītu, ja attiecīgā naudas summa ir saņemta iepriekš norādītajā bankas kontā no izsolei pieteikušās personas konta.</w:t>
      </w:r>
    </w:p>
    <w:p w14:paraId="2C927589" w14:textId="11D206D3" w:rsidR="002630CF" w:rsidRPr="008373C4" w:rsidRDefault="002630CF" w:rsidP="00002567">
      <w:pPr>
        <w:pStyle w:val="BodyText"/>
        <w:numPr>
          <w:ilvl w:val="1"/>
          <w:numId w:val="1"/>
        </w:numPr>
        <w:ind w:left="567" w:right="0" w:hanging="567"/>
      </w:pPr>
      <w:r w:rsidRPr="008373C4">
        <w:t xml:space="preserve">Izsoles </w:t>
      </w:r>
      <w:r w:rsidRPr="00F37494">
        <w:t>solis –</w:t>
      </w:r>
      <w:r w:rsidR="00341AE4">
        <w:t xml:space="preserve"> </w:t>
      </w:r>
      <w:r w:rsidR="00B1060F" w:rsidRPr="00F37494">
        <w:t>10</w:t>
      </w:r>
      <w:r w:rsidR="00293AED" w:rsidRPr="00F37494">
        <w:t>0</w:t>
      </w:r>
      <w:r w:rsidR="00341AE4">
        <w:t>,</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proofErr w:type="spellStart"/>
      <w:r w:rsidR="0051279B" w:rsidRPr="005D636B">
        <w:rPr>
          <w:i/>
        </w:rPr>
        <w:t>euro</w:t>
      </w:r>
      <w:proofErr w:type="spellEnd"/>
      <w:r w:rsidR="00443DAF" w:rsidRPr="005D636B">
        <w:rPr>
          <w:iCs/>
        </w:rPr>
        <w:t>, 00 centi</w:t>
      </w:r>
      <w:r w:rsidRPr="00F37494">
        <w:t>).</w:t>
      </w:r>
    </w:p>
    <w:p w14:paraId="09B3DEA4" w14:textId="7D6781D8" w:rsidR="002630CF" w:rsidRPr="008373C4" w:rsidRDefault="002630CF" w:rsidP="006E3DEF">
      <w:pPr>
        <w:pStyle w:val="BodyText"/>
        <w:numPr>
          <w:ilvl w:val="1"/>
          <w:numId w:val="1"/>
        </w:numPr>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4AFD80A4" w14:textId="7413629A" w:rsidR="004B4E78" w:rsidRPr="004B4E78" w:rsidRDefault="002630CF" w:rsidP="004B4E78">
      <w:pPr>
        <w:pStyle w:val="ListParagraph"/>
        <w:numPr>
          <w:ilvl w:val="0"/>
          <w:numId w:val="1"/>
        </w:numPr>
        <w:jc w:val="both"/>
        <w:rPr>
          <w:b/>
          <w:bCs/>
          <w:lang w:val="lv-LV"/>
        </w:rPr>
      </w:pPr>
      <w:r w:rsidRPr="008373C4">
        <w:rPr>
          <w:b/>
          <w:bCs/>
          <w:lang w:val="lv-LV"/>
        </w:rPr>
        <w:t>Nekustamā īpašuma raksturojum</w:t>
      </w:r>
      <w:r w:rsidR="004B4E78">
        <w:rPr>
          <w:b/>
          <w:bCs/>
          <w:lang w:val="lv-LV"/>
        </w:rPr>
        <w:t>s</w:t>
      </w:r>
    </w:p>
    <w:p w14:paraId="0ABF0C8A" w14:textId="308C2550" w:rsidR="004B4E78" w:rsidRDefault="00C24798" w:rsidP="0031351F">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A</w:t>
      </w:r>
      <w:r w:rsidR="008664CA">
        <w:rPr>
          <w:spacing w:val="1"/>
          <w:lang w:val="lv-LV" w:eastAsia="lv-LV"/>
        </w:rPr>
        <w:t>tsavināmais Nekustamais īpašums</w:t>
      </w:r>
      <w:r w:rsidRPr="004B4E78">
        <w:rPr>
          <w:spacing w:val="1"/>
          <w:lang w:val="lv-LV" w:eastAsia="lv-LV"/>
        </w:rPr>
        <w:t xml:space="preserve"> </w:t>
      </w:r>
      <w:r w:rsidR="0031351F" w:rsidRPr="0031351F">
        <w:rPr>
          <w:spacing w:val="1"/>
          <w:lang w:val="lv-LV" w:eastAsia="lv-LV"/>
        </w:rPr>
        <w:t>Pērles”-2, Suntaži, Suntažu pag., Ogres nov., kadastra numurs 7488 900 0398, sastāv no dzīvokļa Nr. 2 ar kopējo platību 54,10 m</w:t>
      </w:r>
      <w:r w:rsidR="00C03E60">
        <w:rPr>
          <w:spacing w:val="1"/>
          <w:lang w:val="lv-LV" w:eastAsia="lv-LV"/>
        </w:rPr>
        <w:t>²</w:t>
      </w:r>
      <w:r w:rsidR="0031351F" w:rsidRPr="0031351F">
        <w:rPr>
          <w:spacing w:val="1"/>
          <w:lang w:val="lv-LV" w:eastAsia="lv-LV"/>
        </w:rPr>
        <w:t xml:space="preserve">, kopīpašuma 5410/8940 domājamām daļām no būvēm ar kadastra apzīmējumiem: 7488 003 0289 001, 7488 003 0289 002, un </w:t>
      </w:r>
      <w:r w:rsidR="00C03E60" w:rsidRPr="00C03E60">
        <w:rPr>
          <w:spacing w:val="1"/>
          <w:lang w:val="lv-LV" w:eastAsia="lv-LV"/>
        </w:rPr>
        <w:t xml:space="preserve">5410/8940 domājamām daļām </w:t>
      </w:r>
      <w:r w:rsidR="00C03E60">
        <w:rPr>
          <w:spacing w:val="1"/>
          <w:lang w:val="lv-LV" w:eastAsia="lv-LV"/>
        </w:rPr>
        <w:t xml:space="preserve"> no </w:t>
      </w:r>
      <w:r w:rsidR="0031351F" w:rsidRPr="0031351F">
        <w:rPr>
          <w:spacing w:val="1"/>
          <w:lang w:val="lv-LV" w:eastAsia="lv-LV"/>
        </w:rPr>
        <w:t>zemes ar kadastra apzīmējumu 7488 003 0289</w:t>
      </w:r>
      <w:r w:rsidR="0031351F">
        <w:rPr>
          <w:spacing w:val="1"/>
          <w:lang w:val="lv-LV" w:eastAsia="lv-LV"/>
        </w:rPr>
        <w:t>.</w:t>
      </w:r>
    </w:p>
    <w:p w14:paraId="0E32F37E" w14:textId="71D61529" w:rsidR="004B4E78" w:rsidRDefault="00C24798" w:rsidP="004B4E78">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Ogres novada pašvaldības īpašumtiesības nostiprinātas </w:t>
      </w:r>
      <w:r w:rsidR="00424CCF" w:rsidRPr="00424CCF">
        <w:rPr>
          <w:spacing w:val="1"/>
          <w:lang w:val="lv-LV" w:eastAsia="lv-LV"/>
        </w:rPr>
        <w:t xml:space="preserve">Zemgales rajona tiesas </w:t>
      </w:r>
      <w:r w:rsidR="00DE0D79">
        <w:rPr>
          <w:spacing w:val="1"/>
          <w:lang w:val="lv-LV" w:eastAsia="lv-LV"/>
        </w:rPr>
        <w:t>Suntažu</w:t>
      </w:r>
      <w:r w:rsidR="00424CCF" w:rsidRPr="00424CCF">
        <w:rPr>
          <w:spacing w:val="1"/>
          <w:lang w:val="lv-LV" w:eastAsia="lv-LV"/>
        </w:rPr>
        <w:t xml:space="preserve"> pagasta zemesgrāmatas nodalījumā Nr. </w:t>
      </w:r>
      <w:r w:rsidR="00DE0D79" w:rsidRPr="00DE0D79">
        <w:rPr>
          <w:spacing w:val="1"/>
          <w:lang w:val="lv-LV" w:eastAsia="lv-LV"/>
        </w:rPr>
        <w:t>100000509697 2</w:t>
      </w:r>
      <w:r w:rsidR="00B810E8">
        <w:rPr>
          <w:spacing w:val="1"/>
          <w:lang w:val="lv-LV" w:eastAsia="lv-LV"/>
        </w:rPr>
        <w:t>.</w:t>
      </w:r>
    </w:p>
    <w:p w14:paraId="52C35361" w14:textId="0B804DE6" w:rsidR="006F7626" w:rsidRDefault="004B4E78" w:rsidP="006F7626">
      <w:pPr>
        <w:widowControl w:val="0"/>
        <w:numPr>
          <w:ilvl w:val="1"/>
          <w:numId w:val="2"/>
        </w:numPr>
        <w:tabs>
          <w:tab w:val="clear" w:pos="780"/>
          <w:tab w:val="num" w:pos="567"/>
        </w:tabs>
        <w:ind w:left="567" w:hanging="561"/>
        <w:jc w:val="both"/>
        <w:rPr>
          <w:spacing w:val="1"/>
          <w:lang w:val="lv-LV" w:eastAsia="lv-LV"/>
        </w:rPr>
      </w:pPr>
      <w:r w:rsidRPr="004B4E78">
        <w:rPr>
          <w:spacing w:val="1"/>
          <w:lang w:val="lv-LV" w:eastAsia="lv-LV"/>
        </w:rPr>
        <w:t xml:space="preserve">Dzīvoklis atrodas </w:t>
      </w:r>
      <w:r w:rsidR="0020200F">
        <w:rPr>
          <w:spacing w:val="1"/>
          <w:lang w:val="lv-LV" w:eastAsia="lv-LV"/>
        </w:rPr>
        <w:t>div</w:t>
      </w:r>
      <w:r w:rsidR="005725F3">
        <w:rPr>
          <w:spacing w:val="1"/>
          <w:lang w:val="lv-LV" w:eastAsia="lv-LV"/>
        </w:rPr>
        <w:t>stāvu</w:t>
      </w:r>
      <w:r w:rsidRPr="004B4E78">
        <w:rPr>
          <w:spacing w:val="1"/>
          <w:lang w:val="lv-LV" w:eastAsia="lv-LV"/>
        </w:rPr>
        <w:t xml:space="preserve"> ēkas </w:t>
      </w:r>
      <w:r w:rsidR="00DE0D79">
        <w:rPr>
          <w:spacing w:val="1"/>
          <w:lang w:val="lv-LV" w:eastAsia="lv-LV"/>
        </w:rPr>
        <w:t>1</w:t>
      </w:r>
      <w:r w:rsidR="00C03E60">
        <w:rPr>
          <w:spacing w:val="1"/>
          <w:lang w:val="lv-LV" w:eastAsia="lv-LV"/>
        </w:rPr>
        <w:t>.</w:t>
      </w:r>
      <w:r w:rsidR="00DE0D79">
        <w:rPr>
          <w:spacing w:val="1"/>
          <w:lang w:val="lv-LV" w:eastAsia="lv-LV"/>
        </w:rPr>
        <w:t xml:space="preserve"> </w:t>
      </w:r>
      <w:r w:rsidRPr="004B4E78">
        <w:rPr>
          <w:spacing w:val="1"/>
          <w:lang w:val="lv-LV" w:eastAsia="lv-LV"/>
        </w:rPr>
        <w:t xml:space="preserve">stāvā un sastāv no </w:t>
      </w:r>
      <w:r w:rsidR="00DE0D79">
        <w:rPr>
          <w:spacing w:val="1"/>
          <w:lang w:val="lv-LV" w:eastAsia="lv-LV"/>
        </w:rPr>
        <w:t>3</w:t>
      </w:r>
      <w:r w:rsidR="0068444D">
        <w:rPr>
          <w:spacing w:val="1"/>
          <w:lang w:val="lv-LV" w:eastAsia="lv-LV"/>
        </w:rPr>
        <w:t xml:space="preserve"> </w:t>
      </w:r>
      <w:r w:rsidR="008664CA">
        <w:rPr>
          <w:spacing w:val="1"/>
          <w:lang w:val="lv-LV" w:eastAsia="lv-LV"/>
        </w:rPr>
        <w:t>istab</w:t>
      </w:r>
      <w:r w:rsidR="0068444D">
        <w:rPr>
          <w:spacing w:val="1"/>
          <w:lang w:val="lv-LV" w:eastAsia="lv-LV"/>
        </w:rPr>
        <w:t xml:space="preserve">ām. </w:t>
      </w:r>
    </w:p>
    <w:p w14:paraId="40590EC5" w14:textId="7BB9B486" w:rsidR="00DE0D79" w:rsidRPr="00DE0D79" w:rsidRDefault="00DE0D79" w:rsidP="00DE0D79">
      <w:pPr>
        <w:widowControl w:val="0"/>
        <w:numPr>
          <w:ilvl w:val="1"/>
          <w:numId w:val="2"/>
        </w:numPr>
        <w:tabs>
          <w:tab w:val="clear" w:pos="780"/>
          <w:tab w:val="num" w:pos="567"/>
        </w:tabs>
        <w:ind w:left="567" w:hanging="561"/>
        <w:jc w:val="both"/>
        <w:rPr>
          <w:color w:val="FF0000"/>
          <w:spacing w:val="1"/>
          <w:lang w:val="lv-LV" w:eastAsia="lv-LV"/>
        </w:rPr>
      </w:pPr>
      <w:r w:rsidRPr="00DE0D79">
        <w:rPr>
          <w:spacing w:val="1"/>
          <w:lang w:val="lv-LV" w:eastAsia="lv-LV"/>
        </w:rPr>
        <w:t>Telpu vispārējo tehnisko stāvokli var raksturot kā apmierinošu – sienas klāj tapetes, krāsojums, griesti – krāsoti, iekaramie, grīd</w:t>
      </w:r>
      <w:r w:rsidR="00C03E60">
        <w:rPr>
          <w:spacing w:val="1"/>
          <w:lang w:val="lv-LV" w:eastAsia="lv-LV"/>
        </w:rPr>
        <w:t>a</w:t>
      </w:r>
      <w:r w:rsidRPr="00DE0D79">
        <w:rPr>
          <w:spacing w:val="1"/>
          <w:lang w:val="lv-LV" w:eastAsia="lv-LV"/>
        </w:rPr>
        <w:t xml:space="preserve">s – krāsots presētā kartona klājums. Dzīvoklim ir saglabāti koka logu rāmju bloki, viens PVC logs (gaitenī) un metāla ārdurvis. Gaitenis bez </w:t>
      </w:r>
      <w:r w:rsidRPr="00DE0D79">
        <w:rPr>
          <w:spacing w:val="1"/>
          <w:lang w:val="lv-LV" w:eastAsia="lv-LV"/>
        </w:rPr>
        <w:lastRenderedPageBreak/>
        <w:t>apdares. Dzīvoklis ir nodrošināts ar krāsns apkuri</w:t>
      </w:r>
      <w:r w:rsidR="00C03E60">
        <w:rPr>
          <w:spacing w:val="1"/>
          <w:lang w:val="lv-LV" w:eastAsia="lv-LV"/>
        </w:rPr>
        <w:t>. S</w:t>
      </w:r>
      <w:r w:rsidRPr="00DE0D79">
        <w:rPr>
          <w:spacing w:val="1"/>
          <w:lang w:val="lv-LV" w:eastAsia="lv-LV"/>
        </w:rPr>
        <w:t>anitārtehnisko telpu dzīvoklī nav.</w:t>
      </w:r>
    </w:p>
    <w:p w14:paraId="6C2CFCD8" w14:textId="7B22747C" w:rsidR="00DE0D79" w:rsidRPr="00DE0D79" w:rsidRDefault="00DE0D79" w:rsidP="00DE0D79">
      <w:pPr>
        <w:widowControl w:val="0"/>
        <w:numPr>
          <w:ilvl w:val="1"/>
          <w:numId w:val="2"/>
        </w:numPr>
        <w:tabs>
          <w:tab w:val="clear" w:pos="780"/>
          <w:tab w:val="num" w:pos="567"/>
        </w:tabs>
        <w:ind w:left="567" w:hanging="561"/>
        <w:jc w:val="both"/>
        <w:rPr>
          <w:spacing w:val="1"/>
          <w:lang w:val="lv-LV" w:eastAsia="lv-LV"/>
        </w:rPr>
      </w:pPr>
      <w:r>
        <w:rPr>
          <w:b/>
          <w:bCs/>
          <w:spacing w:val="1"/>
          <w:lang w:val="lv-LV" w:eastAsia="lv-LV"/>
        </w:rPr>
        <w:t>D</w:t>
      </w:r>
      <w:r w:rsidRPr="00DE0D79">
        <w:rPr>
          <w:b/>
          <w:bCs/>
          <w:spacing w:val="1"/>
          <w:lang w:val="lv-LV" w:eastAsia="lv-LV"/>
        </w:rPr>
        <w:t xml:space="preserve">zīvoklim nav sava elektrības, ūdens un kanalizācijas </w:t>
      </w:r>
      <w:proofErr w:type="spellStart"/>
      <w:r w:rsidRPr="00DE0D79">
        <w:rPr>
          <w:b/>
          <w:bCs/>
          <w:spacing w:val="1"/>
          <w:lang w:val="lv-LV" w:eastAsia="lv-LV"/>
        </w:rPr>
        <w:t>pieslēguma</w:t>
      </w:r>
      <w:proofErr w:type="spellEnd"/>
      <w:r w:rsidRPr="00DE0D79">
        <w:rPr>
          <w:b/>
          <w:bCs/>
          <w:spacing w:val="1"/>
          <w:lang w:val="lv-LV" w:eastAsia="lv-LV"/>
        </w:rPr>
        <w:t>. Dzīvoklis ir nodrošināts tikai ar krāsns apkuri un malkas plīti virtuvē.</w:t>
      </w:r>
    </w:p>
    <w:p w14:paraId="7E81060B" w14:textId="4EF05EE4" w:rsidR="003B5B4D" w:rsidRPr="00A656F9" w:rsidRDefault="003B5B4D" w:rsidP="006F7626">
      <w:pPr>
        <w:widowControl w:val="0"/>
        <w:numPr>
          <w:ilvl w:val="1"/>
          <w:numId w:val="2"/>
        </w:numPr>
        <w:tabs>
          <w:tab w:val="clear" w:pos="780"/>
          <w:tab w:val="num" w:pos="567"/>
        </w:tabs>
        <w:ind w:left="567" w:hanging="561"/>
        <w:jc w:val="both"/>
        <w:rPr>
          <w:spacing w:val="1"/>
          <w:lang w:val="lv-LV" w:eastAsia="lv-LV"/>
        </w:rPr>
      </w:pPr>
      <w:r w:rsidRPr="00A656F9">
        <w:rPr>
          <w:spacing w:val="1"/>
          <w:lang w:val="lv-LV" w:eastAsia="lv-LV"/>
        </w:rPr>
        <w:t xml:space="preserve">Papildus uzziņas par Nekustamo īpašumu pa tālruni (+371) </w:t>
      </w:r>
      <w:r w:rsidR="0031351F" w:rsidRPr="0031351F">
        <w:rPr>
          <w:spacing w:val="1"/>
          <w:lang w:val="lv-LV" w:eastAsia="lv-LV"/>
        </w:rPr>
        <w:t>65037004</w:t>
      </w:r>
    </w:p>
    <w:p w14:paraId="76E7B242" w14:textId="545A5F3D" w:rsidR="00E528D1" w:rsidRPr="001A7FEB" w:rsidRDefault="00E528D1" w:rsidP="000C3110">
      <w:pPr>
        <w:widowControl w:val="0"/>
        <w:numPr>
          <w:ilvl w:val="1"/>
          <w:numId w:val="2"/>
        </w:numPr>
        <w:tabs>
          <w:tab w:val="clear" w:pos="780"/>
          <w:tab w:val="num" w:pos="567"/>
        </w:tabs>
        <w:ind w:left="567" w:hanging="561"/>
        <w:jc w:val="both"/>
        <w:rPr>
          <w:color w:val="FF0000"/>
          <w:lang w:val="lv-LV"/>
        </w:rPr>
      </w:pPr>
      <w:r w:rsidRPr="00A656F9">
        <w:rPr>
          <w:lang w:val="lv-LV"/>
        </w:rPr>
        <w:t>Informācija par izsoles norisi pa tālruni (+371)</w:t>
      </w:r>
      <w:r w:rsidR="002C0978" w:rsidRPr="00A656F9">
        <w:rPr>
          <w:lang w:val="lv-LV"/>
        </w:rPr>
        <w:t xml:space="preserve"> </w:t>
      </w:r>
      <w:r w:rsidR="00FE2D5E" w:rsidRPr="00A656F9">
        <w:rPr>
          <w:lang w:val="lv-LV"/>
        </w:rPr>
        <w:t>650</w:t>
      </w:r>
      <w:r w:rsidR="00A656F9" w:rsidRPr="00A656F9">
        <w:rPr>
          <w:lang w:val="lv-LV"/>
        </w:rPr>
        <w:t>71185</w:t>
      </w:r>
      <w:r w:rsidR="002C0978" w:rsidRPr="00A656F9">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37E85DAF"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2" w:name="_Hlk160705087"/>
      <w:r w:rsidRPr="00F60180">
        <w:rPr>
          <w:lang w:val="lv-LV"/>
        </w:rPr>
        <w:t>Noteikumu</w:t>
      </w:r>
      <w:bookmarkEnd w:id="2"/>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bookmarkStart w:id="3"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yperlink"/>
            <w:lang w:val="lv-LV"/>
          </w:rPr>
          <w:t>https://izsoles.ta.gov.lv</w:t>
        </w:r>
      </w:hyperlink>
      <w:r w:rsidRPr="00F60180">
        <w:rPr>
          <w:lang w:val="lv-LV"/>
        </w:rPr>
        <w:t xml:space="preserve"> norāda visu reģistrācijas formā pieprasīto informāciju.</w:t>
      </w:r>
      <w:bookmarkEnd w:id="3"/>
    </w:p>
    <w:p w14:paraId="3A3D1724"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47F8EC48"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yperlink"/>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Reģistrēts lietotājs, kurš vēlas piedalīties izsludinātajā izsolē, elektronisko izsoļu vietnē </w:t>
      </w:r>
      <w:proofErr w:type="spellStart"/>
      <w:r w:rsidRPr="00F60180">
        <w:rPr>
          <w:lang w:val="lv-LV"/>
        </w:rPr>
        <w:t>nosūta</w:t>
      </w:r>
      <w:proofErr w:type="spellEnd"/>
      <w:r w:rsidRPr="00F60180">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3360B8F"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lastRenderedPageBreak/>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ListParagraph"/>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4" w:name="_Hlk63955401"/>
      <w:r w:rsidRPr="00F60180">
        <w:rPr>
          <w:lang w:val="lv-LV"/>
        </w:rPr>
        <w:t xml:space="preserve">Izsole sākas </w:t>
      </w:r>
      <w:bookmarkEnd w:id="4"/>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ListParagraph"/>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5"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5"/>
    </w:p>
    <w:p w14:paraId="3D774884"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6"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5822E945"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BodyText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BodyText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BodyText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BodyText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BodyText2"/>
        <w:numPr>
          <w:ilvl w:val="2"/>
          <w:numId w:val="4"/>
        </w:numPr>
        <w:tabs>
          <w:tab w:val="clear" w:pos="720"/>
        </w:tabs>
        <w:ind w:left="1276" w:hanging="709"/>
      </w:pPr>
      <w:r w:rsidRPr="00F60180">
        <w:t xml:space="preserve">tiek noskaidrots, ka nepamatoti noraidīta kāda dalībnieka piedalīšanās izsolē vai nepareizi noraidīts kāds </w:t>
      </w:r>
      <w:proofErr w:type="spellStart"/>
      <w:r w:rsidRPr="00F60180">
        <w:t>pārsolījums</w:t>
      </w:r>
      <w:proofErr w:type="spellEnd"/>
      <w:r w:rsidRPr="00F60180">
        <w:t>;</w:t>
      </w:r>
    </w:p>
    <w:p w14:paraId="219548E1" w14:textId="77777777" w:rsidR="004968F9" w:rsidRPr="00F60180" w:rsidRDefault="004968F9" w:rsidP="004968F9">
      <w:pPr>
        <w:pStyle w:val="BodyText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BodyText2"/>
        <w:numPr>
          <w:ilvl w:val="2"/>
          <w:numId w:val="4"/>
        </w:numPr>
        <w:tabs>
          <w:tab w:val="clear" w:pos="720"/>
        </w:tabs>
        <w:ind w:left="1276" w:hanging="709"/>
      </w:pPr>
      <w:r w:rsidRPr="00F60180">
        <w:lastRenderedPageBreak/>
        <w:t>vienīgais izsoles dalībnieks, kurš nosolījis izsolāmo īpašumu, nav parakstījis izsolāmā īpašuma pirkuma līgumu;</w:t>
      </w:r>
    </w:p>
    <w:p w14:paraId="2BA1919C" w14:textId="77777777" w:rsidR="004968F9" w:rsidRPr="00F60180" w:rsidRDefault="004968F9" w:rsidP="004968F9">
      <w:pPr>
        <w:pStyle w:val="BodyText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BodyText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BodyText2"/>
      </w:pPr>
    </w:p>
    <w:p w14:paraId="4197D8E2" w14:textId="77777777" w:rsidR="004968F9" w:rsidRPr="00F60180" w:rsidRDefault="004968F9" w:rsidP="004968F9">
      <w:pPr>
        <w:pStyle w:val="BodyText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BodyText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BodyText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BodyText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BodyText2"/>
        <w:ind w:left="567"/>
      </w:pPr>
    </w:p>
    <w:p w14:paraId="30731BE3" w14:textId="77777777" w:rsidR="004968F9" w:rsidRPr="00F60180" w:rsidRDefault="004968F9" w:rsidP="004968F9">
      <w:pPr>
        <w:pStyle w:val="NoSpacing"/>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Visus izdevumus, kas saistīti ar nosolītā īpašuma </w:t>
      </w:r>
      <w:proofErr w:type="spellStart"/>
      <w:r w:rsidRPr="00F60180">
        <w:rPr>
          <w:rFonts w:ascii="Times New Roman" w:hAnsi="Times New Roman"/>
          <w:sz w:val="24"/>
          <w:szCs w:val="24"/>
          <w:lang w:val="lv-LV"/>
        </w:rPr>
        <w:t>pārreģistrāciju</w:t>
      </w:r>
      <w:proofErr w:type="spellEnd"/>
      <w:r w:rsidRPr="00F60180">
        <w:rPr>
          <w:rFonts w:ascii="Times New Roman" w:hAnsi="Times New Roman"/>
          <w:sz w:val="24"/>
          <w:szCs w:val="24"/>
          <w:lang w:val="lv-LV"/>
        </w:rPr>
        <w:t>, sedz pircējs.</w:t>
      </w:r>
    </w:p>
    <w:p w14:paraId="79A8FC47" w14:textId="77777777" w:rsidR="004968F9" w:rsidRPr="00F60180" w:rsidRDefault="004968F9" w:rsidP="004968F9">
      <w:pPr>
        <w:pStyle w:val="NoSpacing"/>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DE0C" w14:textId="77777777" w:rsidR="00FE4820" w:rsidRDefault="00FE4820">
      <w:r>
        <w:separator/>
      </w:r>
    </w:p>
  </w:endnote>
  <w:endnote w:type="continuationSeparator" w:id="0">
    <w:p w14:paraId="7A8FDE3D" w14:textId="77777777" w:rsidR="00FE4820" w:rsidRDefault="00FE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D0C31" w:rsidRDefault="00BD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026CF957" w:rsidR="00BD0C31" w:rsidRPr="00F47B42" w:rsidRDefault="000067AD">
    <w:pPr>
      <w:pStyle w:val="Footer"/>
      <w:framePr w:wrap="around" w:vAnchor="text" w:hAnchor="margin" w:xAlign="right" w:y="1"/>
      <w:rPr>
        <w:rStyle w:val="PageNumber"/>
        <w:lang w:val="fr-FR"/>
      </w:rPr>
    </w:pPr>
    <w:r>
      <w:rPr>
        <w:rStyle w:val="PageNumber"/>
      </w:rPr>
      <w:fldChar w:fldCharType="begin"/>
    </w:r>
    <w:r w:rsidRPr="00F47B42">
      <w:rPr>
        <w:rStyle w:val="PageNumber"/>
        <w:lang w:val="fr-FR"/>
      </w:rPr>
      <w:instrText xml:space="preserve">PAGE  </w:instrText>
    </w:r>
    <w:r>
      <w:rPr>
        <w:rStyle w:val="PageNumber"/>
      </w:rPr>
      <w:fldChar w:fldCharType="separate"/>
    </w:r>
    <w:r w:rsidR="005C0BA9" w:rsidRPr="00F47B42">
      <w:rPr>
        <w:rStyle w:val="PageNumber"/>
        <w:noProof/>
        <w:lang w:val="fr-FR"/>
      </w:rPr>
      <w:t>4</w:t>
    </w:r>
    <w:r>
      <w:rPr>
        <w:rStyle w:val="PageNumber"/>
      </w:rPr>
      <w:fldChar w:fldCharType="end"/>
    </w:r>
  </w:p>
  <w:p w14:paraId="1C50D98F" w14:textId="4F0452ED" w:rsidR="00192422" w:rsidRPr="00886FF1" w:rsidRDefault="00CA29A8" w:rsidP="00FE2D5E">
    <w:pPr>
      <w:pStyle w:val="Footer"/>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31351F" w:rsidRPr="0031351F">
      <w:rPr>
        <w:sz w:val="20"/>
        <w:szCs w:val="20"/>
        <w:lang w:val="lv-LV"/>
      </w:rPr>
      <w:t>“Pērles”-2, Suntaži, Suntažu pag., Ogres nov</w:t>
    </w:r>
    <w:r w:rsidR="0031351F">
      <w:rPr>
        <w:sz w:val="20"/>
        <w:szCs w:val="20"/>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7950" w14:textId="77777777" w:rsidR="00FE4820" w:rsidRDefault="00FE4820">
      <w:r>
        <w:separator/>
      </w:r>
    </w:p>
  </w:footnote>
  <w:footnote w:type="continuationSeparator" w:id="0">
    <w:p w14:paraId="1EB08DE4" w14:textId="77777777" w:rsidR="00FE4820" w:rsidRDefault="00FE4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E52A0390"/>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8"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9904881">
    <w:abstractNumId w:val="7"/>
  </w:num>
  <w:num w:numId="2" w16cid:durableId="2136286887">
    <w:abstractNumId w:val="11"/>
  </w:num>
  <w:num w:numId="3" w16cid:durableId="1476994040">
    <w:abstractNumId w:val="9"/>
  </w:num>
  <w:num w:numId="4" w16cid:durableId="1162967354">
    <w:abstractNumId w:val="2"/>
  </w:num>
  <w:num w:numId="5" w16cid:durableId="168300251">
    <w:abstractNumId w:val="17"/>
  </w:num>
  <w:num w:numId="6" w16cid:durableId="1513715993">
    <w:abstractNumId w:val="3"/>
  </w:num>
  <w:num w:numId="7" w16cid:durableId="1132865761">
    <w:abstractNumId w:val="20"/>
  </w:num>
  <w:num w:numId="8" w16cid:durableId="622225133">
    <w:abstractNumId w:val="0"/>
  </w:num>
  <w:num w:numId="9" w16cid:durableId="1336568869">
    <w:abstractNumId w:val="5"/>
  </w:num>
  <w:num w:numId="10" w16cid:durableId="1405689560">
    <w:abstractNumId w:val="6"/>
  </w:num>
  <w:num w:numId="11" w16cid:durableId="1725327687">
    <w:abstractNumId w:val="14"/>
  </w:num>
  <w:num w:numId="12" w16cid:durableId="1361053523">
    <w:abstractNumId w:val="1"/>
  </w:num>
  <w:num w:numId="13" w16cid:durableId="1738899420">
    <w:abstractNumId w:val="8"/>
  </w:num>
  <w:num w:numId="14" w16cid:durableId="1253972373">
    <w:abstractNumId w:val="13"/>
  </w:num>
  <w:num w:numId="15" w16cid:durableId="937298789">
    <w:abstractNumId w:val="10"/>
  </w:num>
  <w:num w:numId="16" w16cid:durableId="1721976024">
    <w:abstractNumId w:val="16"/>
  </w:num>
  <w:num w:numId="17" w16cid:durableId="1253516714">
    <w:abstractNumId w:val="19"/>
  </w:num>
  <w:num w:numId="18" w16cid:durableId="694769223">
    <w:abstractNumId w:val="15"/>
  </w:num>
  <w:num w:numId="19" w16cid:durableId="670722870">
    <w:abstractNumId w:val="18"/>
  </w:num>
  <w:num w:numId="20" w16cid:durableId="1490250377">
    <w:abstractNumId w:val="12"/>
  </w:num>
  <w:num w:numId="21" w16cid:durableId="688604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174B"/>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D446F"/>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3BD8"/>
    <w:rsid w:val="001656E3"/>
    <w:rsid w:val="00167F68"/>
    <w:rsid w:val="001726F9"/>
    <w:rsid w:val="00173E55"/>
    <w:rsid w:val="00174E66"/>
    <w:rsid w:val="00176AB9"/>
    <w:rsid w:val="00181E92"/>
    <w:rsid w:val="00191328"/>
    <w:rsid w:val="00191DED"/>
    <w:rsid w:val="00192422"/>
    <w:rsid w:val="001A056A"/>
    <w:rsid w:val="001A4A9F"/>
    <w:rsid w:val="001A5A53"/>
    <w:rsid w:val="001A7FEB"/>
    <w:rsid w:val="001B43E2"/>
    <w:rsid w:val="001D0BD5"/>
    <w:rsid w:val="001D0FC4"/>
    <w:rsid w:val="001D1ABB"/>
    <w:rsid w:val="001D6F35"/>
    <w:rsid w:val="001E4494"/>
    <w:rsid w:val="001E46B9"/>
    <w:rsid w:val="001E50A7"/>
    <w:rsid w:val="001E5F59"/>
    <w:rsid w:val="001F5B8E"/>
    <w:rsid w:val="00200772"/>
    <w:rsid w:val="0020200F"/>
    <w:rsid w:val="00206AE5"/>
    <w:rsid w:val="002136A2"/>
    <w:rsid w:val="00215E49"/>
    <w:rsid w:val="00220351"/>
    <w:rsid w:val="00220F33"/>
    <w:rsid w:val="0022104E"/>
    <w:rsid w:val="00222DA2"/>
    <w:rsid w:val="0022440B"/>
    <w:rsid w:val="00235723"/>
    <w:rsid w:val="00235AB4"/>
    <w:rsid w:val="00237AA7"/>
    <w:rsid w:val="00241E7F"/>
    <w:rsid w:val="00244B35"/>
    <w:rsid w:val="00245E91"/>
    <w:rsid w:val="002542CB"/>
    <w:rsid w:val="00257DB3"/>
    <w:rsid w:val="002630CF"/>
    <w:rsid w:val="0026428D"/>
    <w:rsid w:val="00266D52"/>
    <w:rsid w:val="00270108"/>
    <w:rsid w:val="0027375B"/>
    <w:rsid w:val="002829A5"/>
    <w:rsid w:val="00283169"/>
    <w:rsid w:val="002850D9"/>
    <w:rsid w:val="0028580C"/>
    <w:rsid w:val="00291F41"/>
    <w:rsid w:val="00292A70"/>
    <w:rsid w:val="00293AED"/>
    <w:rsid w:val="002A3D32"/>
    <w:rsid w:val="002A5F08"/>
    <w:rsid w:val="002A60DC"/>
    <w:rsid w:val="002A7F87"/>
    <w:rsid w:val="002B2806"/>
    <w:rsid w:val="002B63F2"/>
    <w:rsid w:val="002C0978"/>
    <w:rsid w:val="002C420B"/>
    <w:rsid w:val="002C795E"/>
    <w:rsid w:val="002D1923"/>
    <w:rsid w:val="002E4C39"/>
    <w:rsid w:val="002E57B3"/>
    <w:rsid w:val="002F10EA"/>
    <w:rsid w:val="002F14DE"/>
    <w:rsid w:val="002F4E93"/>
    <w:rsid w:val="00301F46"/>
    <w:rsid w:val="00306754"/>
    <w:rsid w:val="00310C33"/>
    <w:rsid w:val="0031351F"/>
    <w:rsid w:val="003152E8"/>
    <w:rsid w:val="00321C7D"/>
    <w:rsid w:val="00332FD3"/>
    <w:rsid w:val="00333595"/>
    <w:rsid w:val="003345D6"/>
    <w:rsid w:val="00341AE4"/>
    <w:rsid w:val="00343864"/>
    <w:rsid w:val="00346B9C"/>
    <w:rsid w:val="00351F4F"/>
    <w:rsid w:val="00360D5B"/>
    <w:rsid w:val="00361515"/>
    <w:rsid w:val="00361B47"/>
    <w:rsid w:val="00364A0E"/>
    <w:rsid w:val="003817DB"/>
    <w:rsid w:val="00397F0E"/>
    <w:rsid w:val="003A074D"/>
    <w:rsid w:val="003B3A36"/>
    <w:rsid w:val="003B4F0A"/>
    <w:rsid w:val="003B5B4D"/>
    <w:rsid w:val="003C483A"/>
    <w:rsid w:val="003D27E7"/>
    <w:rsid w:val="003D2F11"/>
    <w:rsid w:val="003D53FA"/>
    <w:rsid w:val="003E3018"/>
    <w:rsid w:val="003E3F4A"/>
    <w:rsid w:val="003E4CA9"/>
    <w:rsid w:val="003E6176"/>
    <w:rsid w:val="003F1208"/>
    <w:rsid w:val="003F53DC"/>
    <w:rsid w:val="003F66F2"/>
    <w:rsid w:val="003F7627"/>
    <w:rsid w:val="00400CB5"/>
    <w:rsid w:val="00401B5D"/>
    <w:rsid w:val="0040252F"/>
    <w:rsid w:val="00403693"/>
    <w:rsid w:val="00410D2B"/>
    <w:rsid w:val="00411CAB"/>
    <w:rsid w:val="00412944"/>
    <w:rsid w:val="004135FE"/>
    <w:rsid w:val="004172EF"/>
    <w:rsid w:val="00417435"/>
    <w:rsid w:val="00423B43"/>
    <w:rsid w:val="00424CCF"/>
    <w:rsid w:val="00426DAA"/>
    <w:rsid w:val="004344E6"/>
    <w:rsid w:val="00443DAF"/>
    <w:rsid w:val="00445865"/>
    <w:rsid w:val="00447921"/>
    <w:rsid w:val="004502FE"/>
    <w:rsid w:val="00451AF1"/>
    <w:rsid w:val="00451C21"/>
    <w:rsid w:val="00451FF9"/>
    <w:rsid w:val="00453544"/>
    <w:rsid w:val="004675F7"/>
    <w:rsid w:val="00472ADD"/>
    <w:rsid w:val="004776B7"/>
    <w:rsid w:val="004837A8"/>
    <w:rsid w:val="00495A6C"/>
    <w:rsid w:val="004968F9"/>
    <w:rsid w:val="004A011D"/>
    <w:rsid w:val="004A65F0"/>
    <w:rsid w:val="004A6D9E"/>
    <w:rsid w:val="004B4E78"/>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25F3"/>
    <w:rsid w:val="005755B5"/>
    <w:rsid w:val="005822BF"/>
    <w:rsid w:val="00583765"/>
    <w:rsid w:val="00584161"/>
    <w:rsid w:val="00587FE8"/>
    <w:rsid w:val="0059025D"/>
    <w:rsid w:val="00590965"/>
    <w:rsid w:val="00591DD1"/>
    <w:rsid w:val="005A0527"/>
    <w:rsid w:val="005A1049"/>
    <w:rsid w:val="005A21BC"/>
    <w:rsid w:val="005C0BA9"/>
    <w:rsid w:val="005C2BE6"/>
    <w:rsid w:val="005C48A6"/>
    <w:rsid w:val="005C68D0"/>
    <w:rsid w:val="005D636B"/>
    <w:rsid w:val="005E436C"/>
    <w:rsid w:val="005E5842"/>
    <w:rsid w:val="005F3CF1"/>
    <w:rsid w:val="005F3F9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81653"/>
    <w:rsid w:val="00681C8C"/>
    <w:rsid w:val="0068444D"/>
    <w:rsid w:val="006846B4"/>
    <w:rsid w:val="006B30ED"/>
    <w:rsid w:val="006C3396"/>
    <w:rsid w:val="006C7D34"/>
    <w:rsid w:val="006D5621"/>
    <w:rsid w:val="006E1324"/>
    <w:rsid w:val="006E397F"/>
    <w:rsid w:val="006E3DEF"/>
    <w:rsid w:val="006F0892"/>
    <w:rsid w:val="006F6578"/>
    <w:rsid w:val="006F7626"/>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1AE5"/>
    <w:rsid w:val="007E29C3"/>
    <w:rsid w:val="007E3FFC"/>
    <w:rsid w:val="007E653E"/>
    <w:rsid w:val="007F2198"/>
    <w:rsid w:val="00802194"/>
    <w:rsid w:val="00802A7E"/>
    <w:rsid w:val="00804C2F"/>
    <w:rsid w:val="008145B9"/>
    <w:rsid w:val="0082343F"/>
    <w:rsid w:val="00824C56"/>
    <w:rsid w:val="00826376"/>
    <w:rsid w:val="0083013C"/>
    <w:rsid w:val="00831311"/>
    <w:rsid w:val="0083527D"/>
    <w:rsid w:val="00835966"/>
    <w:rsid w:val="008359C6"/>
    <w:rsid w:val="008363BE"/>
    <w:rsid w:val="008373C4"/>
    <w:rsid w:val="00844405"/>
    <w:rsid w:val="008449A5"/>
    <w:rsid w:val="00860F72"/>
    <w:rsid w:val="0086268B"/>
    <w:rsid w:val="00864761"/>
    <w:rsid w:val="008664CA"/>
    <w:rsid w:val="008737B8"/>
    <w:rsid w:val="00880B7F"/>
    <w:rsid w:val="0088257C"/>
    <w:rsid w:val="008827E8"/>
    <w:rsid w:val="00882C0F"/>
    <w:rsid w:val="0088696F"/>
    <w:rsid w:val="00886FF1"/>
    <w:rsid w:val="00893E8F"/>
    <w:rsid w:val="008945E3"/>
    <w:rsid w:val="008A4151"/>
    <w:rsid w:val="008A41A3"/>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31A59"/>
    <w:rsid w:val="00932948"/>
    <w:rsid w:val="0093374C"/>
    <w:rsid w:val="009337CF"/>
    <w:rsid w:val="009427B3"/>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07CDB"/>
    <w:rsid w:val="00A12D92"/>
    <w:rsid w:val="00A1371D"/>
    <w:rsid w:val="00A1591F"/>
    <w:rsid w:val="00A1734A"/>
    <w:rsid w:val="00A23FF6"/>
    <w:rsid w:val="00A3258C"/>
    <w:rsid w:val="00A32C8E"/>
    <w:rsid w:val="00A3473E"/>
    <w:rsid w:val="00A42DDF"/>
    <w:rsid w:val="00A441A2"/>
    <w:rsid w:val="00A51E6A"/>
    <w:rsid w:val="00A5563E"/>
    <w:rsid w:val="00A557EC"/>
    <w:rsid w:val="00A567E5"/>
    <w:rsid w:val="00A64F84"/>
    <w:rsid w:val="00A65017"/>
    <w:rsid w:val="00A656F9"/>
    <w:rsid w:val="00A66471"/>
    <w:rsid w:val="00A771C7"/>
    <w:rsid w:val="00A82814"/>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046"/>
    <w:rsid w:val="00B22FFF"/>
    <w:rsid w:val="00B2562F"/>
    <w:rsid w:val="00B30140"/>
    <w:rsid w:val="00B309E9"/>
    <w:rsid w:val="00B363E3"/>
    <w:rsid w:val="00B53B28"/>
    <w:rsid w:val="00B57225"/>
    <w:rsid w:val="00B67870"/>
    <w:rsid w:val="00B810E8"/>
    <w:rsid w:val="00B8209E"/>
    <w:rsid w:val="00B83658"/>
    <w:rsid w:val="00B942C7"/>
    <w:rsid w:val="00B97429"/>
    <w:rsid w:val="00BA13BA"/>
    <w:rsid w:val="00BA4A54"/>
    <w:rsid w:val="00BB30D3"/>
    <w:rsid w:val="00BC1AA3"/>
    <w:rsid w:val="00BD0C31"/>
    <w:rsid w:val="00BD2FAB"/>
    <w:rsid w:val="00BF06C1"/>
    <w:rsid w:val="00BF3A75"/>
    <w:rsid w:val="00C02167"/>
    <w:rsid w:val="00C03E60"/>
    <w:rsid w:val="00C072D8"/>
    <w:rsid w:val="00C10259"/>
    <w:rsid w:val="00C201B4"/>
    <w:rsid w:val="00C24798"/>
    <w:rsid w:val="00C3543D"/>
    <w:rsid w:val="00C47620"/>
    <w:rsid w:val="00C52ABA"/>
    <w:rsid w:val="00C541FE"/>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5734E"/>
    <w:rsid w:val="00D604B3"/>
    <w:rsid w:val="00D65EE3"/>
    <w:rsid w:val="00D76398"/>
    <w:rsid w:val="00D771C6"/>
    <w:rsid w:val="00D82DBB"/>
    <w:rsid w:val="00D86135"/>
    <w:rsid w:val="00D865ED"/>
    <w:rsid w:val="00D86BB9"/>
    <w:rsid w:val="00D93AA9"/>
    <w:rsid w:val="00DB01C2"/>
    <w:rsid w:val="00DB0444"/>
    <w:rsid w:val="00DD2FD4"/>
    <w:rsid w:val="00DD4206"/>
    <w:rsid w:val="00DD793A"/>
    <w:rsid w:val="00DE0529"/>
    <w:rsid w:val="00DE08EA"/>
    <w:rsid w:val="00DE0D79"/>
    <w:rsid w:val="00DE219C"/>
    <w:rsid w:val="00DE36D2"/>
    <w:rsid w:val="00DF3D6D"/>
    <w:rsid w:val="00DF56D1"/>
    <w:rsid w:val="00E04B0C"/>
    <w:rsid w:val="00E06074"/>
    <w:rsid w:val="00E10716"/>
    <w:rsid w:val="00E10846"/>
    <w:rsid w:val="00E2529B"/>
    <w:rsid w:val="00E256A8"/>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755"/>
    <w:rsid w:val="00ED4FBC"/>
    <w:rsid w:val="00ED73F7"/>
    <w:rsid w:val="00EE1144"/>
    <w:rsid w:val="00EF0355"/>
    <w:rsid w:val="00EF230E"/>
    <w:rsid w:val="00F1676C"/>
    <w:rsid w:val="00F24335"/>
    <w:rsid w:val="00F31049"/>
    <w:rsid w:val="00F37494"/>
    <w:rsid w:val="00F45691"/>
    <w:rsid w:val="00F47B42"/>
    <w:rsid w:val="00F53D51"/>
    <w:rsid w:val="00F575F5"/>
    <w:rsid w:val="00F60795"/>
    <w:rsid w:val="00F65892"/>
    <w:rsid w:val="00F669F3"/>
    <w:rsid w:val="00F66A93"/>
    <w:rsid w:val="00F9461D"/>
    <w:rsid w:val="00F95435"/>
    <w:rsid w:val="00F97D93"/>
    <w:rsid w:val="00FA723B"/>
    <w:rsid w:val="00FB1AB5"/>
    <w:rsid w:val="00FC27FC"/>
    <w:rsid w:val="00FC3644"/>
    <w:rsid w:val="00FD533D"/>
    <w:rsid w:val="00FD6CCC"/>
    <w:rsid w:val="00FE1C0F"/>
    <w:rsid w:val="00FE2D5E"/>
    <w:rsid w:val="00FE35A5"/>
    <w:rsid w:val="00FE4820"/>
    <w:rsid w:val="00FE4EE7"/>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BodyTextIndent">
    <w:name w:val="Body Text Indent"/>
    <w:basedOn w:val="Normal"/>
    <w:link w:val="BodyTextIndentChar"/>
    <w:uiPriority w:val="99"/>
    <w:unhideWhenUsed/>
    <w:rsid w:val="009337CF"/>
    <w:pPr>
      <w:spacing w:after="120"/>
      <w:ind w:left="283"/>
    </w:pPr>
  </w:style>
  <w:style w:type="character" w:customStyle="1" w:styleId="BodyTextIndentChar">
    <w:name w:val="Body Text Indent Char"/>
    <w:basedOn w:val="DefaultParagraphFont"/>
    <w:link w:val="BodyTextIndent"/>
    <w:uiPriority w:val="99"/>
    <w:rsid w:val="009337C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1C1-14D0-446A-81BF-48BB138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8224</Words>
  <Characters>4688</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User</cp:lastModifiedBy>
  <cp:revision>4</cp:revision>
  <cp:lastPrinted>2020-11-20T12:15:00Z</cp:lastPrinted>
  <dcterms:created xsi:type="dcterms:W3CDTF">2026-01-12T10:09:00Z</dcterms:created>
  <dcterms:modified xsi:type="dcterms:W3CDTF">2026-01-13T10:59:00Z</dcterms:modified>
</cp:coreProperties>
</file>