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B0" w:rsidRDefault="00821AB5" w:rsidP="000A2C43">
      <w:pPr>
        <w:pStyle w:val="Heading1"/>
      </w:pPr>
      <w:r>
        <w:t>Uzņēmējdarbības tendences Ogres novadā</w:t>
      </w:r>
    </w:p>
    <w:p w:rsidR="003440C8" w:rsidRDefault="003440C8" w:rsidP="003440C8">
      <w:r>
        <w:t>Veicot pētījumu par uzņēmējdarbības tendencēm Ogres novadā, Lursoft apkopojis datus par pēdējos gados reģistrētajiem un likvidētajiem uzņēmumiem novadā, reģionā reģistrēto uzņēmumu finanšu rādītājiem, darbinieku skaitu un piesaistītajām ārvalstu tiešajām investīcijām.</w:t>
      </w:r>
    </w:p>
    <w:p w:rsidR="003440C8" w:rsidRDefault="003440C8">
      <w:r>
        <w:t>Pēdējo gadu tendences rāda, ka Latvijā jauni uzņēmumi tiek reģistrēti aizvien mazāk, savukārt būtiski pieaudzis likvidēto skaits. Aizvadītajā gadā Latvijā reģistrēti kopumā 11 206 jauni uzņēmumi, kas ir par 2 277 uzņēmumiem jeb 16,89% mazāk nekā gadu iepriekš. Līdz ar jaundibināto uzņēmumu kritumu audzis arī likvidēto skaits, kas 2016.gadā palielinājies par 21,47%. Tendence likvidēto uzņēmumu skaitam pārsniegt jaunreģistrēto uzņēmumu skaitu saglabājusies arī šogad.</w:t>
      </w:r>
    </w:p>
    <w:p w:rsidR="00220559" w:rsidRDefault="00220559">
      <w:r>
        <w:t>Lursoft pētījums atklāj, ka tendence likvidēto uzņēmumu skaitam pārsniegt jaunreģistrēto uzņēmumu skaitu vērojama arī Ogres novadā. Tiesa, šāda dinamika iezīmējusies vien pērn un šogad. 2016.gadā Ogres novadā reģistrēti 129 jauni uzņēmumi, savukārt likvidēti – 176, kas ir par 47 vairāk nekā jaunie uzņēmumi. Līdz ar šo tendenci vērojama vēl kāda iezīme – kopš 2014.gada novadā samazinājusies jaunu uzņēmumu reģistrēšanas aktivitāte. Lursoft aprēķini rāda, ka, piemēram, 2013.gadā Ogres novadā reģistrēti 246 jauni uzņēmumi, savukārt pērn to skaits bijis jau par 47,56% zemāks.</w:t>
      </w:r>
    </w:p>
    <w:p w:rsidR="00095597" w:rsidRDefault="00095597">
      <w:r w:rsidRPr="00095597">
        <w:rPr>
          <w:noProof/>
          <w:lang w:eastAsia="lv-LV"/>
        </w:rPr>
        <w:drawing>
          <wp:inline distT="0" distB="0" distL="0" distR="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7BC4" w:rsidRDefault="00237BC4">
      <w:r>
        <w:t>Kopš 2007.gada Ogres novadā reģistrēti 2008 jauni uzņēmum</w:t>
      </w:r>
      <w:r w:rsidR="007766FB">
        <w:t>i</w:t>
      </w:r>
      <w:r>
        <w:t>, bet likvidēti – 857. Tas nozīmē, ka faktiski šo gadu laikā novadā reģistrēto uzņēmumu skaits palielinājies par 1151 uzņēmumu.</w:t>
      </w:r>
    </w:p>
    <w:p w:rsidR="003440C8" w:rsidRDefault="003440C8">
      <w:r>
        <w:t xml:space="preserve">Kopumā Ogres novadā patlaban reģistrēti 3105 uzņēmumi, no kuriem </w:t>
      </w:r>
      <w:r w:rsidR="00237BC4">
        <w:t>70,92</w:t>
      </w:r>
      <w:r>
        <w:t>% ir sabiedrības ar ierobežotu atbildību,</w:t>
      </w:r>
      <w:r w:rsidR="00FC5D93">
        <w:t xml:space="preserve"> </w:t>
      </w:r>
      <w:r w:rsidR="00237BC4">
        <w:t>16,75% - zemnieku saimniecības, bet vēl</w:t>
      </w:r>
      <w:r>
        <w:t xml:space="preserve"> </w:t>
      </w:r>
      <w:r w:rsidR="00237BC4">
        <w:t>5,28</w:t>
      </w:r>
      <w:r>
        <w:t xml:space="preserve">% - </w:t>
      </w:r>
      <w:r w:rsidR="00237BC4">
        <w:t>individuālie komersanti.</w:t>
      </w:r>
    </w:p>
    <w:p w:rsidR="000A2C43" w:rsidRDefault="000A2C43">
      <w:r>
        <w:lastRenderedPageBreak/>
        <w:t>Vērtējot Ogres novadā populārākās uzņēmējdarbības jomas, redzams, ka līderos izvirzījušās nozares, kuru pamatdarbība saistīta ar dažādu pakalpojumu sniegšanu. Pirmajā vietā ierindojusies mazumtirdzniecība, aiz kuras seko būvniecība, savukārt pār</w:t>
      </w:r>
      <w:r w:rsidR="00FC5D93">
        <w:t>ējās vietas TOP 5 sarakstā sadal</w:t>
      </w:r>
      <w:r>
        <w:t>a kravu pārvadājumi, uzskaites, grāmatvedības un audita pakalpojumi, kā arī automobiļu apkope un remonts.</w:t>
      </w:r>
    </w:p>
    <w:p w:rsidR="00821AB5" w:rsidRPr="000A2C43" w:rsidRDefault="00821AB5">
      <w:pPr>
        <w:rPr>
          <w:b/>
        </w:rPr>
      </w:pPr>
      <w:r w:rsidRPr="000A2C43">
        <w:rPr>
          <w:b/>
        </w:rPr>
        <w:t>Populārākās uzņēmējdarbības nozares Ogres novadā</w:t>
      </w:r>
      <w:r w:rsidR="009D01F3" w:rsidRPr="000A2C43">
        <w:rPr>
          <w:b/>
        </w:rPr>
        <w:t>:</w:t>
      </w:r>
    </w:p>
    <w:p w:rsidR="009D01F3" w:rsidRDefault="009D01F3" w:rsidP="009D01F3">
      <w:pPr>
        <w:pStyle w:val="ListParagraph"/>
        <w:numPr>
          <w:ilvl w:val="0"/>
          <w:numId w:val="1"/>
        </w:numPr>
      </w:pPr>
      <w:r>
        <w:t>Mazumtirdzniecība;</w:t>
      </w:r>
    </w:p>
    <w:p w:rsidR="009D01F3" w:rsidRDefault="009D01F3" w:rsidP="009D01F3">
      <w:pPr>
        <w:pStyle w:val="ListParagraph"/>
        <w:numPr>
          <w:ilvl w:val="0"/>
          <w:numId w:val="1"/>
        </w:numPr>
      </w:pPr>
      <w:r>
        <w:t>Dzīvojamo un nedzīvojamo ēku būvniecība;</w:t>
      </w:r>
    </w:p>
    <w:p w:rsidR="009D01F3" w:rsidRDefault="009D01F3" w:rsidP="009D01F3">
      <w:pPr>
        <w:pStyle w:val="ListParagraph"/>
        <w:numPr>
          <w:ilvl w:val="0"/>
          <w:numId w:val="1"/>
        </w:numPr>
      </w:pPr>
      <w:r>
        <w:t>Kravu pārvadājumi pa autoceļiem;</w:t>
      </w:r>
    </w:p>
    <w:p w:rsidR="009D01F3" w:rsidRDefault="009D01F3" w:rsidP="009D01F3">
      <w:pPr>
        <w:pStyle w:val="ListParagraph"/>
        <w:numPr>
          <w:ilvl w:val="0"/>
          <w:numId w:val="1"/>
        </w:numPr>
      </w:pPr>
      <w:r>
        <w:t>Uzskaites, grāmatvedības, audita un revīzijas pakalpojumi; konsultēšana nodokļu jautājumos;</w:t>
      </w:r>
    </w:p>
    <w:p w:rsidR="00220559" w:rsidRDefault="009D01F3" w:rsidP="00B31FC9">
      <w:pPr>
        <w:pStyle w:val="ListParagraph"/>
        <w:numPr>
          <w:ilvl w:val="0"/>
          <w:numId w:val="1"/>
        </w:numPr>
      </w:pPr>
      <w:r>
        <w:t>Automobiļu apkope un remonts.</w:t>
      </w:r>
    </w:p>
    <w:p w:rsidR="00B31FC9" w:rsidRDefault="00B31FC9" w:rsidP="00220559">
      <w:r>
        <w:t>Lursoft apkopotā informācija rāda, teju 5% novada uzņēmumu izdevies piesaistīt arī ārvalstu tiešās investīcijas. Lielākie no šiem uzņēmumiem – SIA VEITERS KORPORĀCIJA, kas 2016.gadā apgrozījis 5,25 milj. EUR, SIA JAUDA-KOKS ar 4,40 milj.EUR apgrozījumu un SIA Ekobaze Latvia ar 2016.gadā apgrozītiem 4,14 milj.EUR.</w:t>
      </w:r>
    </w:p>
    <w:p w:rsidR="00B31FC9" w:rsidRDefault="00B31FC9" w:rsidP="00B31FC9">
      <w:r>
        <w:t xml:space="preserve">Jāteic, ka patlaban Ogres novada uzņēmumu uzkrātās tiešās ārvalstu investīcijas veido </w:t>
      </w:r>
      <w:r w:rsidR="000A2C43">
        <w:t>23,19 milj</w:t>
      </w:r>
      <w:r>
        <w:t xml:space="preserve">.EUR, no tiem </w:t>
      </w:r>
      <w:r w:rsidR="000A2C43">
        <w:t>17,18 milj.EUR ieguldījuši investori no Somijas, bet vēl 2,60 milj.EUR – no Lielbritānijas.</w:t>
      </w:r>
    </w:p>
    <w:p w:rsidR="009B5D88" w:rsidRDefault="009B5D88" w:rsidP="009B5D88">
      <w:pPr>
        <w:pStyle w:val="Heading2"/>
      </w:pPr>
      <w:r>
        <w:t>Palielinājies vidējais apgrozījums</w:t>
      </w:r>
    </w:p>
    <w:p w:rsidR="009B5D88" w:rsidRDefault="009B5D88" w:rsidP="00B31FC9">
      <w:r>
        <w:t>Analizējot Ogres novadā reģistrēto uzņēmumu apgrozījuma dinamiku, redzams, ka pēdējie gadi iezīmējušies ar vidējā apgrozījuma pieaugumu. Tā, piemēram, vēl 2014.gadā katrs Ogres novadā reģistrētais uzņēmums apgrozījis 19,54 tūkst. eiro, 2015.gadā rādītājs audzis līdz 19,66 tūkst. eiro uz uzņēmumu, savukārt pagājušajā gadā sasniedzis jau 24,33 tūkst. EUR, kas divu gadu laikā ir pieaugums par 24,51%.</w:t>
      </w:r>
    </w:p>
    <w:p w:rsidR="003743E0" w:rsidRDefault="003743E0" w:rsidP="003743E0">
      <w:r w:rsidRPr="003743E0">
        <w:rPr>
          <w:noProof/>
          <w:lang w:eastAsia="lv-LV"/>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5D88" w:rsidRDefault="009B5D88">
      <w:r>
        <w:lastRenderedPageBreak/>
        <w:t>Analizētajā periodā pozitīvu tendenci uzrādījis arī Ogres novadā reģistrēto uzņēmumu kopējais apgrozījums. Tā, piemēram, salīdzinot ar 2014.gadu, 2015.gadā tas palielinājies par 11,30%, sasniedzot 307,29 milj.EUR. Pašreizējie dati liecina, ka pērn novada uzņēmumi apgrozījuši kopumā 253,12 milj.EUR. Tiesa, minētais rādītājs vēl pieaugs, jo pētījuma gatavošanas laikā turpinās gada pārskatu iesniegšana un tos vēl nav iesnieguši tādi Ogres novadā reģistrēti uzņēmumi, kā, piemēram, SIA Fazer Latvija un SIA Žvalguva, kuru apgrozījums 2015.gadā bijis mērāms vairākos miljonos eiro.</w:t>
      </w:r>
    </w:p>
    <w:p w:rsidR="007867B1" w:rsidRDefault="007867B1">
      <w:r>
        <w:t>Jānorāda, ka no visiem Ogres novadā reģistrētajiem uzņēmumiem, kuri iesnieguši jaunākos gada pārskatus un kuru apgrozījums 2016. gadā pārsniedzis 0 eiro, 59,28% uzņēmumu apgrozījums gada laikā audzis.</w:t>
      </w:r>
    </w:p>
    <w:p w:rsidR="009B5D88" w:rsidRDefault="009B5D88">
      <w:r>
        <w:t>Pēc pašreizējiem datiem 2016.gadā Ogres novadā lielāko apgrozījumu uzrādījusi AS HansaMatrix, kas pērn apgrozījusi 17,08 milj.EUR. Gada laikā uzņēmuma apgrozījums palielinājies par 26,82%.</w:t>
      </w:r>
      <w:r w:rsidR="00D169EE">
        <w:t xml:space="preserve"> HansaMatrix pārdošana fokusēta trīs galvenajos tirgus segmentos – datu tīklu infrastruktūras produkti, ierīču internets, industriālie produkti un pārējie. Lielākais no tirgus segmentiem 2016.gadā bijis datu tīklu infrastruktū</w:t>
      </w:r>
      <w:bookmarkStart w:id="0" w:name="_GoBack"/>
      <w:bookmarkEnd w:id="0"/>
      <w:r w:rsidR="00D169EE">
        <w:t>ra ar 42% apgrozījuma daļu, kur pieaugums pret iepriekšējo gadu bijis 6%. Nākošais lielākais segments bijis industriālie produkti ar 36% apgrozījuma daļu, kur pieaugums bijis vēl ievērojamāks – 35%.</w:t>
      </w:r>
    </w:p>
    <w:p w:rsidR="00D169EE" w:rsidRDefault="00D169EE">
      <w:r>
        <w:t>Apgrozījumam palielinoties par 2,86%, saraksta otrajā vietā ierindojies SIA PALLOGS ar apgrozītiem 12,03 milj.EUR. Plānojot uzņēmuma turpmāko darbību, koka paliktņu ražotājs norāda, ka SIA PALLOGS turpmākā attīstība saistīta ar ražošanas apjoma paaugstināšanu, kas atkarīga no ražoto preču pieprasījuma pieauguma Eiropā. Jānorāda, ka pērn 66,02% no uzņēmuma kopējā apgrozījuma veidojuši ieņēmumi no koka paliktņu realizācijas Eiropā.</w:t>
      </w:r>
    </w:p>
    <w:p w:rsidR="00D169EE" w:rsidRDefault="00D169EE">
      <w:r>
        <w:t>Atšķirībā no abiem iepriekš pieminētajiem uzņēmumiem, SIA Fornex apgrozījums, salīdzinot ar gadu iepriekš, pērn sarucis par 20,71%. 2016.gadā mobilo tālruņu, planšetdatoru, klēpjdatoru, foto/video kameru, spēļu konsoļu un citu mazās elektronikas preču vairumtirgotājs apgrozījis 11,26 milj.EUR. Apgrozījuma kritumu uzņēmuma vadība skaidro ar sīvo konkurenci tirgū.</w:t>
      </w:r>
    </w:p>
    <w:p w:rsidR="00D169EE" w:rsidRDefault="00D169EE">
      <w:r>
        <w:t>Lursoft pētījums rāda, ka SIA OGRES RAJONA SLIMNĪCA 2016.gadā apgrozījusi 6,13 milj.EUR. Salīdzinot ar 2015.gadu, tas ir par 5,49% vairāk.</w:t>
      </w:r>
      <w:r w:rsidR="00065E79">
        <w:t xml:space="preserve"> 69,90% no slimnīcas kopējā apgrozījuma veidojuši NVD līdzekļi, savukārt 20,10% - pacientu iemaksas un sniegtie maksas veselības aprūpes pakalpojumi.</w:t>
      </w:r>
    </w:p>
    <w:p w:rsidR="00065E79" w:rsidRDefault="00065E79">
      <w:r>
        <w:t>TOP 5 lielāko uzņēmumu sarakstu noslēdz svaigas atdzesētas liellopu, teļa, jaunlopu un aitas gaļas ražotājs SIA SENLEJAS, kura apgrozījumu 2016.gadā veidojuši 5,70 milj.EUR, par 11,55% mazāk nekā 2015.gadā.</w:t>
      </w:r>
    </w:p>
    <w:p w:rsidR="00821AB5" w:rsidRPr="00D169EE" w:rsidRDefault="00821AB5">
      <w:pPr>
        <w:rPr>
          <w:b/>
        </w:rPr>
      </w:pPr>
      <w:r w:rsidRPr="00D169EE">
        <w:rPr>
          <w:b/>
        </w:rPr>
        <w:t>Ogres novada lielākie uzņēmumi pēc apgrozījuma 2016.gadā:</w:t>
      </w:r>
    </w:p>
    <w:p w:rsidR="00095597" w:rsidRDefault="00095597" w:rsidP="00095597">
      <w:pPr>
        <w:pStyle w:val="ListParagraph"/>
        <w:numPr>
          <w:ilvl w:val="0"/>
          <w:numId w:val="2"/>
        </w:numPr>
      </w:pPr>
      <w:r>
        <w:t>AS HansaMatrix: 17,08 milj.EUR;</w:t>
      </w:r>
    </w:p>
    <w:p w:rsidR="00095597" w:rsidRDefault="00095597" w:rsidP="00095597">
      <w:pPr>
        <w:pStyle w:val="ListParagraph"/>
        <w:numPr>
          <w:ilvl w:val="0"/>
          <w:numId w:val="2"/>
        </w:numPr>
      </w:pPr>
      <w:r>
        <w:t>SIA PALLOGS: 12,03 milj.EUR;</w:t>
      </w:r>
    </w:p>
    <w:p w:rsidR="00095597" w:rsidRDefault="00095597" w:rsidP="00095597">
      <w:pPr>
        <w:pStyle w:val="ListParagraph"/>
        <w:numPr>
          <w:ilvl w:val="0"/>
          <w:numId w:val="2"/>
        </w:numPr>
      </w:pPr>
      <w:r>
        <w:t>SIA Fornex: 11,26 milj.EUR;</w:t>
      </w:r>
    </w:p>
    <w:p w:rsidR="00095597" w:rsidRDefault="00095597" w:rsidP="00095597">
      <w:pPr>
        <w:pStyle w:val="ListParagraph"/>
        <w:numPr>
          <w:ilvl w:val="0"/>
          <w:numId w:val="2"/>
        </w:numPr>
      </w:pPr>
      <w:r>
        <w:t>SIA OGRES RAJONA SLIMNĪCA: 6,13 milj.EUR;</w:t>
      </w:r>
    </w:p>
    <w:p w:rsidR="00095597" w:rsidRDefault="00095597" w:rsidP="00095597">
      <w:pPr>
        <w:pStyle w:val="ListParagraph"/>
        <w:numPr>
          <w:ilvl w:val="0"/>
          <w:numId w:val="2"/>
        </w:numPr>
      </w:pPr>
      <w:r>
        <w:t>SIA SENLEJAS: 5,70 milj.EUR.</w:t>
      </w:r>
    </w:p>
    <w:p w:rsidR="00FC5D93" w:rsidRDefault="00FC5D93" w:rsidP="00FC5D93">
      <w:pPr>
        <w:pStyle w:val="Heading2"/>
      </w:pPr>
      <w:r>
        <w:lastRenderedPageBreak/>
        <w:t>Zaudējumi pērn bijuši mazāki</w:t>
      </w:r>
    </w:p>
    <w:p w:rsidR="000A12BA" w:rsidRDefault="000A12BA" w:rsidP="000A12BA">
      <w:r>
        <w:t>Pagājušais gads Ogres novadā nesis pozitīvas izmaiņas uzņēmumu peļņas līknē. Ja vēl 2015.gadā visu Ogres novadā reģistrēto uzņēmumu kopējais rezultāts bijis 3,49 milj.EUR zaudējumi, tad pērn tā bijusi jau 3,86 milj.EUR peļņa. Līdz ar kopējā rādītāja pozitīvajām izmaiņām augšupeju uzrādījis arī vidējais rādītājs, tiesa, pagājušajā gadā tas vēl aizvien bijis ar mīnusa zīmi.</w:t>
      </w:r>
    </w:p>
    <w:p w:rsidR="000A12BA" w:rsidRDefault="000A12BA" w:rsidP="000A12BA">
      <w:r>
        <w:t>Lursoft dati rāda, ka katrs Ogres novadā reģistrētais uzņēmums 2016.gadā strādājis ar vidēji 30,5 EUR zaudējumiem, kamēr 2015.gadā tie bijuši 50 eiro lieli.</w:t>
      </w:r>
    </w:p>
    <w:p w:rsidR="000A12BA" w:rsidRDefault="000A12BA" w:rsidP="000A12BA">
      <w:r>
        <w:t>Tiesa, gan 2016.gada kopējais, gan vidējais rādītājs vēl noteikti piedzīvos izmaiņas, jo, kā jau iepriekš tika minēts, aizvien turpinās gada pārskatu iesniegšanas periods. Un pētījuma brīdī vēl nav pieejams, piemēram, SIA Baltic Rail Trans, kas 2015.gadā strādājis ar 1,82 milj.EUR zaudējumiem, jaunākais gada pārskats.</w:t>
      </w:r>
    </w:p>
    <w:p w:rsidR="00BB0AE5" w:rsidRDefault="00FC5D93">
      <w:r>
        <w:rPr>
          <w:noProof/>
          <w:lang w:eastAsia="lv-LV"/>
        </w:rPr>
        <w:drawing>
          <wp:inline distT="0" distB="0" distL="0" distR="0" wp14:anchorId="655DDDC1" wp14:editId="5D113504">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12BA" w:rsidRPr="004A5B6F" w:rsidRDefault="000A12BA">
      <w:r w:rsidRPr="004A5B6F">
        <w:t xml:space="preserve">Ogres novada lielāko pelnītāju saraksta līderpozīcijās izvirzījušies divi jau iepriekšējā topa saistībā pieminēti uzņēmumi. Ar lielāko peļņu 2016.gadā Ogres novadā strādājis SIA PALLOGS. Gada laikā tā palielinājusies par 15,49%, pērn sasniedzot 1,14 milj.EUR. </w:t>
      </w:r>
    </w:p>
    <w:p w:rsidR="000A12BA" w:rsidRPr="004A5B6F" w:rsidRDefault="000A12BA">
      <w:r w:rsidRPr="004A5B6F">
        <w:t>Otrajā vietā, neskatoties uz peļņas kritumu par 48,63%, ierindojusies AS HansaMatrix, kas 2016.gadā nopelnījusi 0,54 milj.EUR.</w:t>
      </w:r>
    </w:p>
    <w:p w:rsidR="000A12BA" w:rsidRDefault="000A12BA">
      <w:r w:rsidRPr="004A5B6F">
        <w:t>Peļņa par 7,19% gada laikā augusi pirms septiņiem gadiem dibinātajam SIA LATLAFT. Guļbūvju un citu koka izstrādājumu ražotājs</w:t>
      </w:r>
      <w:r w:rsidR="004A5B6F" w:rsidRPr="004A5B6F">
        <w:t>, kura galvenais noieta tirgus ir Norvēģija,</w:t>
      </w:r>
      <w:r w:rsidRPr="004A5B6F">
        <w:t xml:space="preserve"> 2016.gadā nopelnījis 0,43 milj.EUR. Gūto peļņu uzņēmuma vadība paredzējusi sadalīt dividendēs.</w:t>
      </w:r>
    </w:p>
    <w:p w:rsidR="004A5B6F" w:rsidRDefault="004A5B6F">
      <w:r>
        <w:t>Pateicoties peļņas kāpumam par 54,23%, starp TOP 5 lielākajiem Ogres novada pelnītājiem pagājušajā gadā iekļuvis arī transportlīdzekļu tehniskās pārbaudes un analīzes uzņēmums SIA AUTESTS. Pērn uzņēmums nopelnījis 0,39 milj.EUR. Pārskata gadā uzņēmumam bijušas astoņas struktūrvienības – septiņas tehniskās apskates stacijas un administrācijas daļa Rīgā.</w:t>
      </w:r>
    </w:p>
    <w:p w:rsidR="004A5B6F" w:rsidRPr="004A5B6F" w:rsidRDefault="004A5B6F">
      <w:r>
        <w:lastRenderedPageBreak/>
        <w:t>Ogres novada TOP 5 lielāko pelnītāju sarakstu 2016.gadā noslēdz SIA OGRES RAJONA SLIMNĪCA, kura gadu noslēgusi ar 0,39 milj.EUR lielu peļņu pēc nodokļu nomaksas. Tiesa, gada laikā slimnīcas peļņa sarukusi par 33,65%.</w:t>
      </w:r>
    </w:p>
    <w:p w:rsidR="00821AB5" w:rsidRPr="003440C8" w:rsidRDefault="00821AB5">
      <w:pPr>
        <w:rPr>
          <w:b/>
        </w:rPr>
      </w:pPr>
      <w:r w:rsidRPr="003440C8">
        <w:rPr>
          <w:b/>
        </w:rPr>
        <w:t>Ogres novada lielākie uzņēmumi pēc peļņas 2016.gadā:</w:t>
      </w:r>
    </w:p>
    <w:p w:rsidR="003440C8" w:rsidRDefault="003440C8" w:rsidP="003440C8">
      <w:pPr>
        <w:pStyle w:val="ListParagraph"/>
        <w:numPr>
          <w:ilvl w:val="0"/>
          <w:numId w:val="3"/>
        </w:numPr>
      </w:pPr>
      <w:r>
        <w:t>SIA PALLOGS: 1,14 milj.EUR;</w:t>
      </w:r>
    </w:p>
    <w:p w:rsidR="003440C8" w:rsidRDefault="003440C8" w:rsidP="003440C8">
      <w:pPr>
        <w:pStyle w:val="ListParagraph"/>
        <w:numPr>
          <w:ilvl w:val="0"/>
          <w:numId w:val="3"/>
        </w:numPr>
      </w:pPr>
      <w:r>
        <w:t>AS HansaMatrix: 0,54 milj.EUR;</w:t>
      </w:r>
    </w:p>
    <w:p w:rsidR="003440C8" w:rsidRDefault="003440C8" w:rsidP="003440C8">
      <w:pPr>
        <w:pStyle w:val="ListParagraph"/>
        <w:numPr>
          <w:ilvl w:val="0"/>
          <w:numId w:val="3"/>
        </w:numPr>
      </w:pPr>
      <w:r>
        <w:t>SIA LATLAFT: 0,43 milj.EUR;</w:t>
      </w:r>
    </w:p>
    <w:p w:rsidR="003440C8" w:rsidRDefault="003440C8" w:rsidP="003440C8">
      <w:pPr>
        <w:pStyle w:val="ListParagraph"/>
        <w:numPr>
          <w:ilvl w:val="0"/>
          <w:numId w:val="3"/>
        </w:numPr>
      </w:pPr>
      <w:r>
        <w:t>SIA AUTESTS: 0,39 milj.EUR;</w:t>
      </w:r>
    </w:p>
    <w:p w:rsidR="003440C8" w:rsidRDefault="003440C8" w:rsidP="003440C8">
      <w:pPr>
        <w:pStyle w:val="ListParagraph"/>
        <w:numPr>
          <w:ilvl w:val="0"/>
          <w:numId w:val="3"/>
        </w:numPr>
      </w:pPr>
      <w:r>
        <w:t>SIA OGRES RAJONA SLIMNĪCA: 0,39 milj.EUR.</w:t>
      </w:r>
    </w:p>
    <w:p w:rsidR="004A5B6F" w:rsidRDefault="004A5B6F" w:rsidP="004A5B6F">
      <w:pPr>
        <w:pStyle w:val="Heading2"/>
      </w:pPr>
      <w:r>
        <w:t>Vidējais strādājošo skaits Ogres novada uzņēmumos - nemainīgs</w:t>
      </w:r>
    </w:p>
    <w:p w:rsidR="004A5B6F" w:rsidRDefault="004A5B6F" w:rsidP="004A5B6F">
      <w:r>
        <w:t>Pēdējos gados Ogres novada reģistrētie uzņēmumi ar darba vietām nodrošinājuši aizvien lielāku strādājošo skaitu. Tiesa, patlaban 2016.gada kopējais rādītājs vēl ir ievērojami zemāks nekā 2015.gada, taču tas saistāms ar vēl neiesniegtajiem gada pāskatiem. Tā, piemēram, gada pārskatu par 2016.gadu vēl nav iesniedzis SIA Fazer Latvija, kas 2015.gadā ar darba vietām nodrošinājis 315 darbiniekus, tāpat arī SIA OGRES PRESTIŽS, kurā 2015.gadā bijuši nodarbināti 133 darbinieki.</w:t>
      </w:r>
    </w:p>
    <w:p w:rsidR="004A5B6F" w:rsidRDefault="004A5B6F" w:rsidP="004A5B6F">
      <w:r>
        <w:t>Tiesa, neskatoties uz šo faktu, droši jau var apgalvot, ka vidējais nodarbināto skaits novada uzņēmumos 2016.gadā ir saglabājies nemainīgs. Proti, katrs Ogres novadā reģistrētais uzņēmums arī 2016.gadā nodarbinājis vidēji 2 strādājošos. Tas ir tikpat, cik vidēji valstī vienā uzņēmumā.</w:t>
      </w:r>
    </w:p>
    <w:p w:rsidR="007867B1" w:rsidRDefault="007867B1" w:rsidP="004A5B6F">
      <w:r>
        <w:t>Jāpiebilst, ka no visiem Ogres novada uzņēmumiem, kuri iesnieguši jaunākos gada pārskatus un kuru apgrozījums 2016.gadā pārsniedzis 0 eiro, 26,25% uzņēmumu darbinieku skaits gada laikā audzis, bet 54,37% uzņēmumu saglabājies nemainīgs.</w:t>
      </w:r>
    </w:p>
    <w:p w:rsidR="004A5B6F" w:rsidRDefault="004A5B6F" w:rsidP="004A5B6F"/>
    <w:p w:rsidR="0021447E" w:rsidRDefault="0021447E">
      <w:r w:rsidRPr="0021447E">
        <w:rPr>
          <w:noProof/>
          <w:lang w:eastAsia="lv-LV"/>
        </w:rPr>
        <w:drawing>
          <wp:inline distT="0" distB="0" distL="0" distR="0">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33FF" w:rsidRDefault="002433FF">
      <w:r>
        <w:lastRenderedPageBreak/>
        <w:t>Līdzīgi kā citos reģionos, arī Ogres novadā lielākā darba devēja godu izpelnījusies medicīnas iestāde. SIA OGRES</w:t>
      </w:r>
      <w:r w:rsidR="00085C76">
        <w:t xml:space="preserve"> RAJONA SLIMNĪCA 2016.gadā bijusi</w:t>
      </w:r>
      <w:r>
        <w:t xml:space="preserve"> darba devējs 343 darbiniekiem, par 27 strādājošajiem vairāk nekā gadu iepriekš.</w:t>
      </w:r>
    </w:p>
    <w:p w:rsidR="002433FF" w:rsidRDefault="002433FF">
      <w:r>
        <w:t>Darbinieku skaita pieaugums pērn bijis arī SIA PALLOGS. Koka paliktņu ražotājs pagājušajā gadā nodarbinājis par 9 darbiniekiem vairāk nekā 2015.gadā, proti, 205 strādājošos.</w:t>
      </w:r>
    </w:p>
    <w:p w:rsidR="002433FF" w:rsidRDefault="002433FF">
      <w:r>
        <w:t>Darbinieku skaita pieaugums jau vairākus gadus raksturo arī SIA Optikas pakalpojumi darbību, jo kopš 2014.gada uzņēmumā strādājošo skaits audzis par 24,27%. 2016.gadā tie bijuši jau 128 darbinieki. Uzņēmums labāk pazīstams ar preču zīmi Optikas Salons “Optika Metropole” un 2016.gadā tā tīklā darbojušies 25 optikas saloni. Tiesa, līdz pārskata iesniegšanas brīdim, izvērtējot ekonomisko rentabilitāti, 5 saloni slēgti.</w:t>
      </w:r>
    </w:p>
    <w:p w:rsidR="002433FF" w:rsidRDefault="002433FF">
      <w:r>
        <w:t>TOP 5 lielāko darba devēju sarakstā iekļuvusi arī AS HansaMatrix ar 94 darbiniekiem 2016.gadā. Tiesa, salīdzinot ar 2015.gadu, uzņēmumā strādājošo skaits pērn bijis par 36,49% mazāks.</w:t>
      </w:r>
    </w:p>
    <w:p w:rsidR="002433FF" w:rsidRDefault="002433FF">
      <w:r>
        <w:t xml:space="preserve">Ogres novada lielāko darba devēju sarakstu noslēdz </w:t>
      </w:r>
      <w:r w:rsidR="008D0FF8">
        <w:t xml:space="preserve">pagājušā gada aprīlī reģistrētais </w:t>
      </w:r>
      <w:r>
        <w:t>SIA GBM</w:t>
      </w:r>
      <w:r w:rsidR="008D0FF8">
        <w:t>, kura pamatdarbība saistīta ar līmētas brusas ražošanu no kokmateriāliem un to vairumtirdzniecību. Uzņēmums iepērk priedes zāģbaļķus, zāģē tos apzāģētos dēļos, kaltē, ražo sagataves, kuras tālāk līmē un no tām izgatavo līmēto brusu logiem un durvīm. 2016.gadā SIA GBM nodarbinājis 89 darbiniekus.</w:t>
      </w:r>
    </w:p>
    <w:p w:rsidR="00821AB5" w:rsidRPr="008D0FF8" w:rsidRDefault="00821AB5">
      <w:pPr>
        <w:rPr>
          <w:b/>
        </w:rPr>
      </w:pPr>
      <w:r w:rsidRPr="008D0FF8">
        <w:rPr>
          <w:b/>
        </w:rPr>
        <w:t>Ogres novada lielākie darba devēji pēc vidējā darbinieku skaita 2016.gadā:</w:t>
      </w:r>
    </w:p>
    <w:p w:rsidR="003440C8" w:rsidRDefault="003440C8" w:rsidP="003440C8">
      <w:pPr>
        <w:pStyle w:val="ListParagraph"/>
        <w:numPr>
          <w:ilvl w:val="0"/>
          <w:numId w:val="4"/>
        </w:numPr>
      </w:pPr>
      <w:r>
        <w:t>SIA OGRES RAJONA SLIMNĪCA: 343 darbinieki;</w:t>
      </w:r>
    </w:p>
    <w:p w:rsidR="003440C8" w:rsidRDefault="003440C8" w:rsidP="003440C8">
      <w:pPr>
        <w:pStyle w:val="ListParagraph"/>
        <w:numPr>
          <w:ilvl w:val="0"/>
          <w:numId w:val="4"/>
        </w:numPr>
      </w:pPr>
      <w:r>
        <w:t>SIA PALLOGS: 205 darbinieki;</w:t>
      </w:r>
    </w:p>
    <w:p w:rsidR="003440C8" w:rsidRDefault="003440C8" w:rsidP="003440C8">
      <w:pPr>
        <w:pStyle w:val="ListParagraph"/>
        <w:numPr>
          <w:ilvl w:val="0"/>
          <w:numId w:val="4"/>
        </w:numPr>
      </w:pPr>
      <w:r>
        <w:t>SIA Optikas pakalpojumi: 128 darbinieki;</w:t>
      </w:r>
    </w:p>
    <w:p w:rsidR="003440C8" w:rsidRDefault="003440C8" w:rsidP="003440C8">
      <w:pPr>
        <w:pStyle w:val="ListParagraph"/>
        <w:numPr>
          <w:ilvl w:val="0"/>
          <w:numId w:val="4"/>
        </w:numPr>
      </w:pPr>
      <w:r>
        <w:t>AS HansaMatrix: 94 darbinieki;</w:t>
      </w:r>
    </w:p>
    <w:p w:rsidR="003440C8" w:rsidRDefault="003440C8" w:rsidP="003440C8">
      <w:pPr>
        <w:pStyle w:val="ListParagraph"/>
        <w:numPr>
          <w:ilvl w:val="0"/>
          <w:numId w:val="4"/>
        </w:numPr>
      </w:pPr>
      <w:r>
        <w:t>SIA GBM: 89 darbinieki.</w:t>
      </w:r>
    </w:p>
    <w:p w:rsidR="00085C76" w:rsidRDefault="00085C76" w:rsidP="00085C76">
      <w:pPr>
        <w:pStyle w:val="Heading2"/>
      </w:pPr>
      <w:r>
        <w:t>Nodokļos samaksāts par 16,07% vairāk</w:t>
      </w:r>
    </w:p>
    <w:p w:rsidR="001576A9" w:rsidRDefault="001576A9" w:rsidP="001576A9">
      <w:r>
        <w:t>Balstoties uz Valsts ieņēmumu dienesta publiskoto informāciju, Lursoft aprēķinājis, ka pagājušajā gadā visi valstī reģistrētie uzņēmumi nodokļos valsts kopbudžetā samaksājuši 6,13 miljardus eiro, par 7,54% vairāk nekā gadu iepriekš.</w:t>
      </w:r>
    </w:p>
    <w:p w:rsidR="001576A9" w:rsidRDefault="001576A9" w:rsidP="001576A9">
      <w:r>
        <w:t>Līdzīgi kā valstī kopumā, pagājušajā gadā arī palielinājusies nodokļu summa, kuru valsts kopbudžetā pērn samaksājuši Ogres novadā reģistrētie uzņēmumi. Lursoft, apkopojot Valsts ieņēmumu dienesta datus, aprēķinājis, ka 2016.gadā Ogres novadā reģistrē</w:t>
      </w:r>
      <w:r w:rsidR="00085C76">
        <w:t xml:space="preserve">tie uzņēmumi nodokļos valsts </w:t>
      </w:r>
      <w:r>
        <w:t>budžetā samaksājuši 26,37 milj.EUR, kas ir par 16,07% vairāk nekā gadu iepriekš.</w:t>
      </w:r>
    </w:p>
    <w:p w:rsidR="002D1A60" w:rsidRDefault="002D1A60">
      <w:r w:rsidRPr="002D1A60">
        <w:rPr>
          <w:noProof/>
          <w:lang w:eastAsia="lv-LV"/>
        </w:rPr>
        <w:lastRenderedPageBreak/>
        <w:drawing>
          <wp:inline distT="0" distB="0" distL="0" distR="0">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576A9" w:rsidRDefault="001576A9">
      <w:r w:rsidRPr="001576A9">
        <w:t>Lielākais nodokļu maksātājs novadā pagājušajā gadā bijis SIA Fazer Latvija, kas valsts budžetā nodokļos samaksājis 2,52 milj.EUR. Salīdzinot ar 2015.gadu, tas ir par 18,66% vairāk. Nodokļu summa par 12,93% gada laikā augusi arī SIA OGRES RAJONA SLIMNĪCA. Pērn slimnīcas nodokļu maksājumi veidojuši 1,56 milj.EUR.</w:t>
      </w:r>
    </w:p>
    <w:p w:rsidR="001576A9" w:rsidRDefault="001576A9">
      <w:r>
        <w:t>Neskatoties uz to, ka 2016.gadā uzņēmuma nodokļu maksājumi, salīdzinot ar gadu iepriekš, samazinājušies par 24,67%, starp lielākajiem nodokļu maksātājiem ierindojusies arī AS HansaMatrix ar budžetā nodokļos samaksātiem 0,78 milj.EUR.</w:t>
      </w:r>
    </w:p>
    <w:p w:rsidR="0061446B" w:rsidRDefault="0061446B">
      <w:r>
        <w:t>Par 5,99% pērn audzis arī SIA OGRES PRESTIŽS nodokļos samaksātās summas apmērs. Valsts ieņēmumu dienesta publiskotā informācija liecina, ka pagājušajā gadā uzņēmums valsts kopbudžetā nodokļos iemaksājis 0,78 milj.EUR.</w:t>
      </w:r>
    </w:p>
    <w:p w:rsidR="0061446B" w:rsidRPr="001576A9" w:rsidRDefault="0061446B">
      <w:r>
        <w:t>Ogres novada lielāko nodokļu maksātāju TOP 5 sarakstu noslēdz SIA AUTESTS ar 0,62 milj.EUR. Tas ir par 11,22% vairāk nekā 2015.gadā.</w:t>
      </w:r>
    </w:p>
    <w:p w:rsidR="00821AB5" w:rsidRPr="003440C8" w:rsidRDefault="00821AB5">
      <w:pPr>
        <w:rPr>
          <w:b/>
        </w:rPr>
      </w:pPr>
      <w:r w:rsidRPr="003440C8">
        <w:rPr>
          <w:b/>
        </w:rPr>
        <w:t>Ogres novada lielākie nodokļu maksātāji pēc 2016.gadā samaksātās kopējās nodokļu summas valsts budžetā:</w:t>
      </w:r>
    </w:p>
    <w:p w:rsidR="003440C8" w:rsidRDefault="003440C8" w:rsidP="003440C8">
      <w:pPr>
        <w:pStyle w:val="ListParagraph"/>
        <w:numPr>
          <w:ilvl w:val="0"/>
          <w:numId w:val="5"/>
        </w:numPr>
      </w:pPr>
      <w:r>
        <w:t>SIA Fazer Latvija: 2,52 milj.EUR;</w:t>
      </w:r>
    </w:p>
    <w:p w:rsidR="003440C8" w:rsidRDefault="003440C8" w:rsidP="003440C8">
      <w:pPr>
        <w:pStyle w:val="ListParagraph"/>
        <w:numPr>
          <w:ilvl w:val="0"/>
          <w:numId w:val="5"/>
        </w:numPr>
      </w:pPr>
      <w:r>
        <w:t>SIA OGRES RAJONA SLIMNĪCA: 1,56 milj.EUR;</w:t>
      </w:r>
    </w:p>
    <w:p w:rsidR="003440C8" w:rsidRDefault="003440C8" w:rsidP="003440C8">
      <w:pPr>
        <w:pStyle w:val="ListParagraph"/>
        <w:numPr>
          <w:ilvl w:val="0"/>
          <w:numId w:val="5"/>
        </w:numPr>
      </w:pPr>
      <w:r>
        <w:t>AS HansaMatrix: 1,11 milj.EUR;</w:t>
      </w:r>
    </w:p>
    <w:p w:rsidR="003440C8" w:rsidRDefault="003440C8" w:rsidP="003440C8">
      <w:pPr>
        <w:pStyle w:val="ListParagraph"/>
        <w:numPr>
          <w:ilvl w:val="0"/>
          <w:numId w:val="5"/>
        </w:numPr>
      </w:pPr>
      <w:r>
        <w:t>SIA OGRES PRESTIŽS: 0,78 milj.EUR;</w:t>
      </w:r>
    </w:p>
    <w:p w:rsidR="003440C8" w:rsidRDefault="003440C8" w:rsidP="003440C8">
      <w:pPr>
        <w:pStyle w:val="ListParagraph"/>
        <w:numPr>
          <w:ilvl w:val="0"/>
          <w:numId w:val="5"/>
        </w:numPr>
      </w:pPr>
      <w:r>
        <w:t>SIA AUTESTS: 0,62 milj.EUR.</w:t>
      </w:r>
    </w:p>
    <w:p w:rsidR="00821AB5" w:rsidRDefault="00821AB5" w:rsidP="00821AB5">
      <w:r>
        <w:t>*Dati par Ogres novada uzņēmumiem aprēķināti uz 26.05.2017.</w:t>
      </w:r>
    </w:p>
    <w:p w:rsidR="00821AB5" w:rsidRDefault="00821AB5" w:rsidP="00821AB5">
      <w:r>
        <w:t>**Vidējie rādītāji aprēķināti, izmantojot vidējo mediānu.</w:t>
      </w:r>
    </w:p>
    <w:p w:rsidR="00821AB5" w:rsidRDefault="00821AB5" w:rsidP="00821AB5">
      <w:r>
        <w:t>*** Informācijas avots datiem par uzņēmumu samaksātajiem nodokļiem – Valsts ieņēmumu dienests.</w:t>
      </w:r>
    </w:p>
    <w:p w:rsidR="00821AB5" w:rsidRDefault="00821AB5"/>
    <w:sectPr w:rsidR="00821AB5" w:rsidSect="00A528B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09" w:rsidRDefault="009B7609" w:rsidP="009B5D88">
      <w:pPr>
        <w:spacing w:after="0" w:line="240" w:lineRule="auto"/>
      </w:pPr>
      <w:r>
        <w:separator/>
      </w:r>
    </w:p>
  </w:endnote>
  <w:endnote w:type="continuationSeparator" w:id="0">
    <w:p w:rsidR="009B7609" w:rsidRDefault="009B7609" w:rsidP="009B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09" w:rsidRDefault="009B7609" w:rsidP="009B5D88">
      <w:pPr>
        <w:spacing w:after="0" w:line="240" w:lineRule="auto"/>
      </w:pPr>
      <w:r>
        <w:separator/>
      </w:r>
    </w:p>
  </w:footnote>
  <w:footnote w:type="continuationSeparator" w:id="0">
    <w:p w:rsidR="009B7609" w:rsidRDefault="009B7609" w:rsidP="009B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7C3"/>
    <w:multiLevelType w:val="hybridMultilevel"/>
    <w:tmpl w:val="FAE4A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161C00"/>
    <w:multiLevelType w:val="hybridMultilevel"/>
    <w:tmpl w:val="26726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BF96313"/>
    <w:multiLevelType w:val="hybridMultilevel"/>
    <w:tmpl w:val="E138B5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CD85A32"/>
    <w:multiLevelType w:val="hybridMultilevel"/>
    <w:tmpl w:val="59E65B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F7F77A6"/>
    <w:multiLevelType w:val="hybridMultilevel"/>
    <w:tmpl w:val="C1F440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1AB5"/>
    <w:rsid w:val="00065E79"/>
    <w:rsid w:val="00085C76"/>
    <w:rsid w:val="00095597"/>
    <w:rsid w:val="000A12BA"/>
    <w:rsid w:val="000A2C43"/>
    <w:rsid w:val="00140758"/>
    <w:rsid w:val="001576A9"/>
    <w:rsid w:val="001D4003"/>
    <w:rsid w:val="0021447E"/>
    <w:rsid w:val="00220559"/>
    <w:rsid w:val="00237BC4"/>
    <w:rsid w:val="002433FF"/>
    <w:rsid w:val="002D1A60"/>
    <w:rsid w:val="003440C8"/>
    <w:rsid w:val="003743E0"/>
    <w:rsid w:val="004A5B6F"/>
    <w:rsid w:val="0061446B"/>
    <w:rsid w:val="007766FB"/>
    <w:rsid w:val="007867B1"/>
    <w:rsid w:val="007B3AAB"/>
    <w:rsid w:val="00821AB5"/>
    <w:rsid w:val="008D0FF8"/>
    <w:rsid w:val="009B5D88"/>
    <w:rsid w:val="009B7609"/>
    <w:rsid w:val="009D01F3"/>
    <w:rsid w:val="00A528B0"/>
    <w:rsid w:val="00B10B27"/>
    <w:rsid w:val="00B31FC9"/>
    <w:rsid w:val="00BB0AE5"/>
    <w:rsid w:val="00D169EE"/>
    <w:rsid w:val="00DA27A9"/>
    <w:rsid w:val="00FC5D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B0"/>
  </w:style>
  <w:style w:type="paragraph" w:styleId="Heading1">
    <w:name w:val="heading 1"/>
    <w:basedOn w:val="Normal"/>
    <w:next w:val="Normal"/>
    <w:link w:val="Heading1Char"/>
    <w:uiPriority w:val="9"/>
    <w:qFormat/>
    <w:rsid w:val="000A2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5D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1F3"/>
    <w:pPr>
      <w:ind w:left="720"/>
      <w:contextualSpacing/>
    </w:pPr>
  </w:style>
  <w:style w:type="paragraph" w:styleId="BalloonText">
    <w:name w:val="Balloon Text"/>
    <w:basedOn w:val="Normal"/>
    <w:link w:val="BalloonTextChar"/>
    <w:uiPriority w:val="99"/>
    <w:semiHidden/>
    <w:unhideWhenUsed/>
    <w:rsid w:val="0037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3E0"/>
    <w:rPr>
      <w:rFonts w:ascii="Tahoma" w:hAnsi="Tahoma" w:cs="Tahoma"/>
      <w:sz w:val="16"/>
      <w:szCs w:val="16"/>
    </w:rPr>
  </w:style>
  <w:style w:type="character" w:customStyle="1" w:styleId="Heading1Char">
    <w:name w:val="Heading 1 Char"/>
    <w:basedOn w:val="DefaultParagraphFont"/>
    <w:link w:val="Heading1"/>
    <w:uiPriority w:val="9"/>
    <w:rsid w:val="000A2C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5D8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B5D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5D88"/>
  </w:style>
  <w:style w:type="paragraph" w:styleId="Footer">
    <w:name w:val="footer"/>
    <w:basedOn w:val="Normal"/>
    <w:link w:val="FooterChar"/>
    <w:uiPriority w:val="99"/>
    <w:unhideWhenUsed/>
    <w:rsid w:val="009B5D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5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dra\Desktop\Og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ndra\Desktop\Og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uris\Desktop\Og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ndra\Desktop\Ogr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Indra\Desktop\Og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lv-LV"/>
              <a:t>Uzņēmumu reģistrēšanas un likvidēšanas dinamika Ogres novadā</a:t>
            </a:r>
          </a:p>
        </c:rich>
      </c:tx>
      <c:overlay val="0"/>
    </c:title>
    <c:autoTitleDeleted val="0"/>
    <c:plotArea>
      <c:layout/>
      <c:barChart>
        <c:barDir val="col"/>
        <c:grouping val="clustered"/>
        <c:varyColors val="0"/>
        <c:ser>
          <c:idx val="0"/>
          <c:order val="0"/>
          <c:tx>
            <c:strRef>
              <c:f>Sheet2!$B$24</c:f>
              <c:strCache>
                <c:ptCount val="1"/>
                <c:pt idx="0">
                  <c:v>Jaunreģistrēti uzņēmumi</c:v>
                </c:pt>
              </c:strCache>
            </c:strRef>
          </c:tx>
          <c:invertIfNegative val="0"/>
          <c:dLbls>
            <c:dLblPos val="outEnd"/>
            <c:showLegendKey val="0"/>
            <c:showVal val="1"/>
            <c:showCatName val="0"/>
            <c:showSerName val="0"/>
            <c:showPercent val="0"/>
            <c:showBubbleSize val="0"/>
            <c:showLeaderLines val="0"/>
          </c:dLbls>
          <c:cat>
            <c:strRef>
              <c:f>Sheet2!$A$25:$A$35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Sheet2!$B$25:$B$35</c:f>
              <c:numCache>
                <c:formatCode>General</c:formatCode>
                <c:ptCount val="11"/>
                <c:pt idx="0">
                  <c:v>233</c:v>
                </c:pt>
                <c:pt idx="1">
                  <c:v>152</c:v>
                </c:pt>
                <c:pt idx="2">
                  <c:v>123</c:v>
                </c:pt>
                <c:pt idx="3">
                  <c:v>177</c:v>
                </c:pt>
                <c:pt idx="4">
                  <c:v>244</c:v>
                </c:pt>
                <c:pt idx="5">
                  <c:v>230</c:v>
                </c:pt>
                <c:pt idx="6">
                  <c:v>246</c:v>
                </c:pt>
                <c:pt idx="7">
                  <c:v>224</c:v>
                </c:pt>
                <c:pt idx="8">
                  <c:v>191</c:v>
                </c:pt>
                <c:pt idx="9">
                  <c:v>129</c:v>
                </c:pt>
                <c:pt idx="10">
                  <c:v>59</c:v>
                </c:pt>
              </c:numCache>
            </c:numRef>
          </c:val>
        </c:ser>
        <c:ser>
          <c:idx val="1"/>
          <c:order val="1"/>
          <c:tx>
            <c:strRef>
              <c:f>Sheet2!$C$24</c:f>
              <c:strCache>
                <c:ptCount val="1"/>
                <c:pt idx="0">
                  <c:v>Likvidēti uzņēmumi</c:v>
                </c:pt>
              </c:strCache>
            </c:strRef>
          </c:tx>
          <c:invertIfNegative val="0"/>
          <c:dLbls>
            <c:dLblPos val="outEnd"/>
            <c:showLegendKey val="0"/>
            <c:showVal val="1"/>
            <c:showCatName val="0"/>
            <c:showSerName val="0"/>
            <c:showPercent val="0"/>
            <c:showBubbleSize val="0"/>
            <c:showLeaderLines val="0"/>
          </c:dLbls>
          <c:cat>
            <c:strRef>
              <c:f>Sheet2!$A$25:$A$35</c:f>
              <c:strCache>
                <c:ptCount val="11"/>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Sheet2!$C$25:$C$35</c:f>
              <c:numCache>
                <c:formatCode>General</c:formatCode>
                <c:ptCount val="11"/>
                <c:pt idx="0">
                  <c:v>115</c:v>
                </c:pt>
                <c:pt idx="1">
                  <c:v>51</c:v>
                </c:pt>
                <c:pt idx="2">
                  <c:v>37</c:v>
                </c:pt>
                <c:pt idx="3">
                  <c:v>84</c:v>
                </c:pt>
                <c:pt idx="4">
                  <c:v>45</c:v>
                </c:pt>
                <c:pt idx="5">
                  <c:v>56</c:v>
                </c:pt>
                <c:pt idx="6">
                  <c:v>55</c:v>
                </c:pt>
                <c:pt idx="7">
                  <c:v>53</c:v>
                </c:pt>
                <c:pt idx="8">
                  <c:v>118</c:v>
                </c:pt>
                <c:pt idx="9">
                  <c:v>176</c:v>
                </c:pt>
                <c:pt idx="10">
                  <c:v>67</c:v>
                </c:pt>
              </c:numCache>
            </c:numRef>
          </c:val>
        </c:ser>
        <c:dLbls>
          <c:showLegendKey val="0"/>
          <c:showVal val="0"/>
          <c:showCatName val="0"/>
          <c:showSerName val="0"/>
          <c:showPercent val="0"/>
          <c:showBubbleSize val="0"/>
        </c:dLbls>
        <c:gapWidth val="150"/>
        <c:axId val="177310336"/>
        <c:axId val="177353088"/>
      </c:barChart>
      <c:catAx>
        <c:axId val="177310336"/>
        <c:scaling>
          <c:orientation val="minMax"/>
        </c:scaling>
        <c:delete val="0"/>
        <c:axPos val="b"/>
        <c:majorTickMark val="out"/>
        <c:minorTickMark val="none"/>
        <c:tickLblPos val="nextTo"/>
        <c:crossAx val="177353088"/>
        <c:crosses val="autoZero"/>
        <c:auto val="1"/>
        <c:lblAlgn val="ctr"/>
        <c:lblOffset val="100"/>
        <c:noMultiLvlLbl val="0"/>
      </c:catAx>
      <c:valAx>
        <c:axId val="177353088"/>
        <c:scaling>
          <c:orientation val="minMax"/>
        </c:scaling>
        <c:delete val="0"/>
        <c:axPos val="l"/>
        <c:majorGridlines/>
        <c:numFmt formatCode="General" sourceLinked="1"/>
        <c:majorTickMark val="out"/>
        <c:minorTickMark val="none"/>
        <c:tickLblPos val="nextTo"/>
        <c:crossAx val="17731033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lv-LV"/>
              <a:t>Ogres novadā reģistrēto uzņēmumu apgrozījuma dinamika</a:t>
            </a:r>
          </a:p>
        </c:rich>
      </c:tx>
      <c:overlay val="0"/>
    </c:title>
    <c:autoTitleDeleted val="0"/>
    <c:plotArea>
      <c:layout/>
      <c:barChart>
        <c:barDir val="col"/>
        <c:grouping val="clustered"/>
        <c:varyColors val="0"/>
        <c:ser>
          <c:idx val="0"/>
          <c:order val="0"/>
          <c:tx>
            <c:strRef>
              <c:f>Sheet2!$B$2</c:f>
              <c:strCache>
                <c:ptCount val="1"/>
                <c:pt idx="0">
                  <c:v>Kopējais apgrozījums, milj.EUR</c:v>
                </c:pt>
              </c:strCache>
            </c:strRef>
          </c:tx>
          <c:invertIfNegative val="0"/>
          <c:dLbls>
            <c:dLblPos val="inBase"/>
            <c:showLegendKey val="0"/>
            <c:showVal val="1"/>
            <c:showCatName val="0"/>
            <c:showSerName val="0"/>
            <c:showPercent val="0"/>
            <c:showBubbleSize val="0"/>
            <c:showLeaderLines val="0"/>
          </c:dLbls>
          <c:cat>
            <c:numRef>
              <c:f>Sheet2!$A$3:$A$5</c:f>
              <c:numCache>
                <c:formatCode>General</c:formatCode>
                <c:ptCount val="3"/>
                <c:pt idx="0">
                  <c:v>2014</c:v>
                </c:pt>
                <c:pt idx="1">
                  <c:v>2015</c:v>
                </c:pt>
                <c:pt idx="2">
                  <c:v>2016</c:v>
                </c:pt>
              </c:numCache>
            </c:numRef>
          </c:cat>
          <c:val>
            <c:numRef>
              <c:f>Sheet2!$B$3:$B$5</c:f>
              <c:numCache>
                <c:formatCode>General</c:formatCode>
                <c:ptCount val="3"/>
                <c:pt idx="0">
                  <c:v>276.08</c:v>
                </c:pt>
                <c:pt idx="1">
                  <c:v>307.28999999999996</c:v>
                </c:pt>
                <c:pt idx="2">
                  <c:v>253.12</c:v>
                </c:pt>
              </c:numCache>
            </c:numRef>
          </c:val>
        </c:ser>
        <c:dLbls>
          <c:showLegendKey val="0"/>
          <c:showVal val="0"/>
          <c:showCatName val="0"/>
          <c:showSerName val="0"/>
          <c:showPercent val="0"/>
          <c:showBubbleSize val="0"/>
        </c:dLbls>
        <c:gapWidth val="150"/>
        <c:axId val="40311808"/>
        <c:axId val="40317696"/>
      </c:barChart>
      <c:lineChart>
        <c:grouping val="standard"/>
        <c:varyColors val="0"/>
        <c:ser>
          <c:idx val="1"/>
          <c:order val="1"/>
          <c:tx>
            <c:strRef>
              <c:f>Sheet2!$C$2</c:f>
              <c:strCache>
                <c:ptCount val="1"/>
                <c:pt idx="0">
                  <c:v>Vidējais apgrozījums, tūkst.EUR</c:v>
                </c:pt>
              </c:strCache>
            </c:strRef>
          </c:tx>
          <c:marker>
            <c:symbol val="none"/>
          </c:marker>
          <c:dLbls>
            <c:dLblPos val="t"/>
            <c:showLegendKey val="0"/>
            <c:showVal val="1"/>
            <c:showCatName val="0"/>
            <c:showSerName val="0"/>
            <c:showPercent val="0"/>
            <c:showBubbleSize val="0"/>
            <c:showLeaderLines val="0"/>
          </c:dLbls>
          <c:cat>
            <c:numRef>
              <c:f>Sheet2!$A$3:$A$5</c:f>
              <c:numCache>
                <c:formatCode>General</c:formatCode>
                <c:ptCount val="3"/>
                <c:pt idx="0">
                  <c:v>2014</c:v>
                </c:pt>
                <c:pt idx="1">
                  <c:v>2015</c:v>
                </c:pt>
                <c:pt idx="2">
                  <c:v>2016</c:v>
                </c:pt>
              </c:numCache>
            </c:numRef>
          </c:cat>
          <c:val>
            <c:numRef>
              <c:f>Sheet2!$C$3:$C$5</c:f>
              <c:numCache>
                <c:formatCode>General</c:formatCode>
                <c:ptCount val="3"/>
                <c:pt idx="0">
                  <c:v>19.54</c:v>
                </c:pt>
                <c:pt idx="1">
                  <c:v>19.66</c:v>
                </c:pt>
                <c:pt idx="2">
                  <c:v>24.330000000000002</c:v>
                </c:pt>
              </c:numCache>
            </c:numRef>
          </c:val>
          <c:smooth val="0"/>
        </c:ser>
        <c:dLbls>
          <c:showLegendKey val="0"/>
          <c:showVal val="0"/>
          <c:showCatName val="0"/>
          <c:showSerName val="0"/>
          <c:showPercent val="0"/>
          <c:showBubbleSize val="0"/>
        </c:dLbls>
        <c:marker val="1"/>
        <c:smooth val="0"/>
        <c:axId val="40325120"/>
        <c:axId val="40319232"/>
      </c:lineChart>
      <c:catAx>
        <c:axId val="40311808"/>
        <c:scaling>
          <c:orientation val="minMax"/>
        </c:scaling>
        <c:delete val="0"/>
        <c:axPos val="b"/>
        <c:numFmt formatCode="General" sourceLinked="1"/>
        <c:majorTickMark val="out"/>
        <c:minorTickMark val="none"/>
        <c:tickLblPos val="nextTo"/>
        <c:crossAx val="40317696"/>
        <c:crosses val="autoZero"/>
        <c:auto val="1"/>
        <c:lblAlgn val="ctr"/>
        <c:lblOffset val="100"/>
        <c:noMultiLvlLbl val="0"/>
      </c:catAx>
      <c:valAx>
        <c:axId val="40317696"/>
        <c:scaling>
          <c:orientation val="minMax"/>
        </c:scaling>
        <c:delete val="0"/>
        <c:axPos val="l"/>
        <c:majorGridlines/>
        <c:numFmt formatCode="General" sourceLinked="1"/>
        <c:majorTickMark val="out"/>
        <c:minorTickMark val="none"/>
        <c:tickLblPos val="nextTo"/>
        <c:crossAx val="40311808"/>
        <c:crosses val="autoZero"/>
        <c:crossBetween val="between"/>
      </c:valAx>
      <c:valAx>
        <c:axId val="40319232"/>
        <c:scaling>
          <c:orientation val="minMax"/>
        </c:scaling>
        <c:delete val="0"/>
        <c:axPos val="r"/>
        <c:numFmt formatCode="General" sourceLinked="1"/>
        <c:majorTickMark val="out"/>
        <c:minorTickMark val="none"/>
        <c:tickLblPos val="nextTo"/>
        <c:crossAx val="40325120"/>
        <c:crosses val="max"/>
        <c:crossBetween val="between"/>
      </c:valAx>
      <c:catAx>
        <c:axId val="40325120"/>
        <c:scaling>
          <c:orientation val="minMax"/>
        </c:scaling>
        <c:delete val="1"/>
        <c:axPos val="b"/>
        <c:numFmt formatCode="General" sourceLinked="1"/>
        <c:majorTickMark val="out"/>
        <c:minorTickMark val="none"/>
        <c:tickLblPos val="none"/>
        <c:crossAx val="40319232"/>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lv-LV"/>
              <a:t>Ogres novadā reģistrēto uzņēmumu peļņas / zaudējumu dinamika</a:t>
            </a:r>
          </a:p>
        </c:rich>
      </c:tx>
      <c:overlay val="0"/>
    </c:title>
    <c:autoTitleDeleted val="0"/>
    <c:plotArea>
      <c:layout/>
      <c:barChart>
        <c:barDir val="col"/>
        <c:grouping val="clustered"/>
        <c:varyColors val="0"/>
        <c:ser>
          <c:idx val="0"/>
          <c:order val="0"/>
          <c:tx>
            <c:strRef>
              <c:f>[Ogre.xlsx]Sheet2!$B$7</c:f>
              <c:strCache>
                <c:ptCount val="1"/>
                <c:pt idx="0">
                  <c:v>Kopējā peļņa/ zaudējumi, milj.EUR</c:v>
                </c:pt>
              </c:strCache>
            </c:strRef>
          </c:tx>
          <c:invertIfNegative val="0"/>
          <c:dLbls>
            <c:dLbl>
              <c:idx val="0"/>
              <c:layout>
                <c:manualLayout>
                  <c:x val="0"/>
                  <c:y val="0.26381233595800524"/>
                </c:manualLayout>
              </c:layout>
              <c:dLblPos val="outEnd"/>
              <c:showLegendKey val="0"/>
              <c:showVal val="1"/>
              <c:showCatName val="0"/>
              <c:showSerName val="0"/>
              <c:showPercent val="0"/>
              <c:showBubbleSize val="0"/>
            </c:dLbl>
            <c:dLbl>
              <c:idx val="1"/>
              <c:layout>
                <c:manualLayout>
                  <c:x val="-5.0925337632079971E-17"/>
                  <c:y val="0.26736074657334502"/>
                </c:manualLayout>
              </c:layout>
              <c:dLblPos val="outEnd"/>
              <c:showLegendKey val="0"/>
              <c:showVal val="1"/>
              <c:showCatName val="0"/>
              <c:showSerName val="0"/>
              <c:showPercent val="0"/>
              <c:showBubbleSize val="0"/>
            </c:dLbl>
            <c:dLblPos val="inBase"/>
            <c:showLegendKey val="0"/>
            <c:showVal val="1"/>
            <c:showCatName val="0"/>
            <c:showSerName val="0"/>
            <c:showPercent val="0"/>
            <c:showBubbleSize val="0"/>
            <c:showLeaderLines val="0"/>
          </c:dLbls>
          <c:cat>
            <c:numRef>
              <c:f>[Ogre.xlsx]Sheet2!$A$8:$A$10</c:f>
              <c:numCache>
                <c:formatCode>General</c:formatCode>
                <c:ptCount val="3"/>
                <c:pt idx="0">
                  <c:v>2014</c:v>
                </c:pt>
                <c:pt idx="1">
                  <c:v>2015</c:v>
                </c:pt>
                <c:pt idx="2">
                  <c:v>2016</c:v>
                </c:pt>
              </c:numCache>
            </c:numRef>
          </c:cat>
          <c:val>
            <c:numRef>
              <c:f>[Ogre.xlsx]Sheet2!$B$8:$B$10</c:f>
              <c:numCache>
                <c:formatCode>General</c:formatCode>
                <c:ptCount val="3"/>
                <c:pt idx="0">
                  <c:v>-3.51</c:v>
                </c:pt>
                <c:pt idx="1">
                  <c:v>-3.49</c:v>
                </c:pt>
                <c:pt idx="2">
                  <c:v>3.86</c:v>
                </c:pt>
              </c:numCache>
            </c:numRef>
          </c:val>
        </c:ser>
        <c:dLbls>
          <c:showLegendKey val="0"/>
          <c:showVal val="0"/>
          <c:showCatName val="0"/>
          <c:showSerName val="0"/>
          <c:showPercent val="0"/>
          <c:showBubbleSize val="0"/>
        </c:dLbls>
        <c:gapWidth val="150"/>
        <c:axId val="40348288"/>
        <c:axId val="40354176"/>
      </c:barChart>
      <c:lineChart>
        <c:grouping val="standard"/>
        <c:varyColors val="0"/>
        <c:ser>
          <c:idx val="1"/>
          <c:order val="1"/>
          <c:tx>
            <c:strRef>
              <c:f>[Ogre.xlsx]Sheet2!$C$7</c:f>
              <c:strCache>
                <c:ptCount val="1"/>
                <c:pt idx="0">
                  <c:v>Vidējā peļņa/ zaudējumi, EUR</c:v>
                </c:pt>
              </c:strCache>
            </c:strRef>
          </c:tx>
          <c:marker>
            <c:symbol val="none"/>
          </c:marker>
          <c:dLbls>
            <c:dLbl>
              <c:idx val="2"/>
              <c:layout>
                <c:manualLayout>
                  <c:x val="-4.9673665791776025E-2"/>
                  <c:y val="3.7037037037037035E-2"/>
                </c:manualLayout>
              </c:layout>
              <c:dLblPos val="r"/>
              <c:showLegendKey val="0"/>
              <c:showVal val="1"/>
              <c:showCatName val="0"/>
              <c:showSerName val="0"/>
              <c:showPercent val="0"/>
              <c:showBubbleSize val="0"/>
            </c:dLbl>
            <c:dLblPos val="ctr"/>
            <c:showLegendKey val="0"/>
            <c:showVal val="1"/>
            <c:showCatName val="0"/>
            <c:showSerName val="0"/>
            <c:showPercent val="0"/>
            <c:showBubbleSize val="0"/>
            <c:showLeaderLines val="0"/>
          </c:dLbls>
          <c:cat>
            <c:numRef>
              <c:f>[Ogre.xlsx]Sheet2!$A$8:$A$10</c:f>
              <c:numCache>
                <c:formatCode>General</c:formatCode>
                <c:ptCount val="3"/>
                <c:pt idx="0">
                  <c:v>2014</c:v>
                </c:pt>
                <c:pt idx="1">
                  <c:v>2015</c:v>
                </c:pt>
                <c:pt idx="2">
                  <c:v>2016</c:v>
                </c:pt>
              </c:numCache>
            </c:numRef>
          </c:cat>
          <c:val>
            <c:numRef>
              <c:f>[Ogre.xlsx]Sheet2!$C$8:$C$10</c:f>
              <c:numCache>
                <c:formatCode>General</c:formatCode>
                <c:ptCount val="3"/>
                <c:pt idx="0">
                  <c:v>-28</c:v>
                </c:pt>
                <c:pt idx="1">
                  <c:v>-50</c:v>
                </c:pt>
                <c:pt idx="2">
                  <c:v>-30.5</c:v>
                </c:pt>
              </c:numCache>
            </c:numRef>
          </c:val>
          <c:smooth val="0"/>
        </c:ser>
        <c:dLbls>
          <c:showLegendKey val="0"/>
          <c:showVal val="0"/>
          <c:showCatName val="0"/>
          <c:showSerName val="0"/>
          <c:showPercent val="0"/>
          <c:showBubbleSize val="0"/>
        </c:dLbls>
        <c:marker val="1"/>
        <c:smooth val="0"/>
        <c:axId val="40357248"/>
        <c:axId val="40355712"/>
      </c:lineChart>
      <c:catAx>
        <c:axId val="40348288"/>
        <c:scaling>
          <c:orientation val="minMax"/>
        </c:scaling>
        <c:delete val="0"/>
        <c:axPos val="b"/>
        <c:numFmt formatCode="General" sourceLinked="1"/>
        <c:majorTickMark val="out"/>
        <c:minorTickMark val="none"/>
        <c:tickLblPos val="nextTo"/>
        <c:crossAx val="40354176"/>
        <c:crosses val="autoZero"/>
        <c:auto val="1"/>
        <c:lblAlgn val="ctr"/>
        <c:lblOffset val="100"/>
        <c:noMultiLvlLbl val="0"/>
      </c:catAx>
      <c:valAx>
        <c:axId val="40354176"/>
        <c:scaling>
          <c:orientation val="minMax"/>
        </c:scaling>
        <c:delete val="0"/>
        <c:axPos val="l"/>
        <c:majorGridlines/>
        <c:numFmt formatCode="General" sourceLinked="1"/>
        <c:majorTickMark val="out"/>
        <c:minorTickMark val="none"/>
        <c:tickLblPos val="nextTo"/>
        <c:crossAx val="40348288"/>
        <c:crosses val="autoZero"/>
        <c:crossBetween val="between"/>
      </c:valAx>
      <c:valAx>
        <c:axId val="40355712"/>
        <c:scaling>
          <c:orientation val="minMax"/>
        </c:scaling>
        <c:delete val="0"/>
        <c:axPos val="r"/>
        <c:numFmt formatCode="General" sourceLinked="1"/>
        <c:majorTickMark val="out"/>
        <c:minorTickMark val="none"/>
        <c:tickLblPos val="nextTo"/>
        <c:crossAx val="40357248"/>
        <c:crosses val="max"/>
        <c:crossBetween val="between"/>
      </c:valAx>
      <c:catAx>
        <c:axId val="40357248"/>
        <c:scaling>
          <c:orientation val="minMax"/>
        </c:scaling>
        <c:delete val="1"/>
        <c:axPos val="b"/>
        <c:numFmt formatCode="General" sourceLinked="1"/>
        <c:majorTickMark val="out"/>
        <c:minorTickMark val="none"/>
        <c:tickLblPos val="nextTo"/>
        <c:crossAx val="40355712"/>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lv-LV"/>
              <a:t>Kopējais strādājošo skaits Ogres novadā reģistrētajos uzņēmumos</a:t>
            </a:r>
          </a:p>
        </c:rich>
      </c:tx>
      <c:overlay val="0"/>
    </c:title>
    <c:autoTitleDeleted val="0"/>
    <c:plotArea>
      <c:layout/>
      <c:barChart>
        <c:barDir val="col"/>
        <c:grouping val="clustered"/>
        <c:varyColors val="0"/>
        <c:ser>
          <c:idx val="0"/>
          <c:order val="0"/>
          <c:invertIfNegative val="0"/>
          <c:dLbls>
            <c:dLblPos val="inBase"/>
            <c:showLegendKey val="0"/>
            <c:showVal val="1"/>
            <c:showCatName val="0"/>
            <c:showSerName val="0"/>
            <c:showPercent val="0"/>
            <c:showBubbleSize val="0"/>
            <c:showLeaderLines val="0"/>
          </c:dLbls>
          <c:cat>
            <c:numRef>
              <c:f>Sheet2!$A$13:$A$15</c:f>
              <c:numCache>
                <c:formatCode>General</c:formatCode>
                <c:ptCount val="3"/>
                <c:pt idx="0">
                  <c:v>2014</c:v>
                </c:pt>
                <c:pt idx="1">
                  <c:v>2015</c:v>
                </c:pt>
                <c:pt idx="2">
                  <c:v>2016</c:v>
                </c:pt>
              </c:numCache>
            </c:numRef>
          </c:cat>
          <c:val>
            <c:numRef>
              <c:f>Sheet2!$B$13:$B$15</c:f>
              <c:numCache>
                <c:formatCode>General</c:formatCode>
                <c:ptCount val="3"/>
                <c:pt idx="0">
                  <c:v>7170</c:v>
                </c:pt>
                <c:pt idx="1">
                  <c:v>7376</c:v>
                </c:pt>
                <c:pt idx="2">
                  <c:v>6765</c:v>
                </c:pt>
              </c:numCache>
            </c:numRef>
          </c:val>
        </c:ser>
        <c:dLbls>
          <c:showLegendKey val="0"/>
          <c:showVal val="1"/>
          <c:showCatName val="0"/>
          <c:showSerName val="0"/>
          <c:showPercent val="0"/>
          <c:showBubbleSize val="0"/>
        </c:dLbls>
        <c:gapWidth val="150"/>
        <c:axId val="40438400"/>
        <c:axId val="40449536"/>
      </c:barChart>
      <c:catAx>
        <c:axId val="40438400"/>
        <c:scaling>
          <c:orientation val="minMax"/>
        </c:scaling>
        <c:delete val="0"/>
        <c:axPos val="b"/>
        <c:numFmt formatCode="General" sourceLinked="1"/>
        <c:majorTickMark val="out"/>
        <c:minorTickMark val="none"/>
        <c:tickLblPos val="nextTo"/>
        <c:crossAx val="40449536"/>
        <c:crosses val="autoZero"/>
        <c:auto val="1"/>
        <c:lblAlgn val="ctr"/>
        <c:lblOffset val="100"/>
        <c:noMultiLvlLbl val="0"/>
      </c:catAx>
      <c:valAx>
        <c:axId val="40449536"/>
        <c:scaling>
          <c:orientation val="minMax"/>
        </c:scaling>
        <c:delete val="0"/>
        <c:axPos val="l"/>
        <c:majorGridlines/>
        <c:numFmt formatCode="General" sourceLinked="1"/>
        <c:majorTickMark val="out"/>
        <c:minorTickMark val="none"/>
        <c:tickLblPos val="nextTo"/>
        <c:crossAx val="40438400"/>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lv-LV"/>
              <a:t>Ogres novada uzņēmumu kopējie nodokļu maksājumi valsts budžetā, milj.EUR</a:t>
            </a:r>
          </a:p>
        </c:rich>
      </c:tx>
      <c:overlay val="0"/>
    </c:title>
    <c:autoTitleDeleted val="0"/>
    <c:plotArea>
      <c:layout/>
      <c:barChart>
        <c:barDir val="col"/>
        <c:grouping val="clustered"/>
        <c:varyColors val="0"/>
        <c:ser>
          <c:idx val="0"/>
          <c:order val="0"/>
          <c:invertIfNegative val="0"/>
          <c:dLbls>
            <c:dLblPos val="inBase"/>
            <c:showLegendKey val="0"/>
            <c:showVal val="1"/>
            <c:showCatName val="0"/>
            <c:showSerName val="0"/>
            <c:showPercent val="0"/>
            <c:showBubbleSize val="0"/>
            <c:showLeaderLines val="0"/>
          </c:dLbls>
          <c:cat>
            <c:numRef>
              <c:f>Sheet2!$A$18:$A$20</c:f>
              <c:numCache>
                <c:formatCode>General</c:formatCode>
                <c:ptCount val="3"/>
                <c:pt idx="0">
                  <c:v>2014</c:v>
                </c:pt>
                <c:pt idx="1">
                  <c:v>2015</c:v>
                </c:pt>
                <c:pt idx="2">
                  <c:v>2016</c:v>
                </c:pt>
              </c:numCache>
            </c:numRef>
          </c:cat>
          <c:val>
            <c:numRef>
              <c:f>Sheet2!$B$18:$B$20</c:f>
              <c:numCache>
                <c:formatCode>General</c:formatCode>
                <c:ptCount val="3"/>
                <c:pt idx="0">
                  <c:v>22.47</c:v>
                </c:pt>
                <c:pt idx="1">
                  <c:v>22.72</c:v>
                </c:pt>
                <c:pt idx="2">
                  <c:v>26.37</c:v>
                </c:pt>
              </c:numCache>
            </c:numRef>
          </c:val>
        </c:ser>
        <c:dLbls>
          <c:showLegendKey val="0"/>
          <c:showVal val="1"/>
          <c:showCatName val="0"/>
          <c:showSerName val="0"/>
          <c:showPercent val="0"/>
          <c:showBubbleSize val="0"/>
        </c:dLbls>
        <c:gapWidth val="150"/>
        <c:axId val="40472960"/>
        <c:axId val="40475648"/>
      </c:barChart>
      <c:catAx>
        <c:axId val="40472960"/>
        <c:scaling>
          <c:orientation val="minMax"/>
        </c:scaling>
        <c:delete val="0"/>
        <c:axPos val="b"/>
        <c:numFmt formatCode="General" sourceLinked="1"/>
        <c:majorTickMark val="out"/>
        <c:minorTickMark val="none"/>
        <c:tickLblPos val="nextTo"/>
        <c:crossAx val="40475648"/>
        <c:crosses val="autoZero"/>
        <c:auto val="1"/>
        <c:lblAlgn val="ctr"/>
        <c:lblOffset val="100"/>
        <c:noMultiLvlLbl val="0"/>
      </c:catAx>
      <c:valAx>
        <c:axId val="40475648"/>
        <c:scaling>
          <c:orientation val="minMax"/>
        </c:scaling>
        <c:delete val="0"/>
        <c:axPos val="l"/>
        <c:majorGridlines/>
        <c:numFmt formatCode="General" sourceLinked="1"/>
        <c:majorTickMark val="out"/>
        <c:minorTickMark val="none"/>
        <c:tickLblPos val="nextTo"/>
        <c:crossAx val="40472960"/>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8454</Words>
  <Characters>4820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Linda Kalniņa</cp:lastModifiedBy>
  <cp:revision>19</cp:revision>
  <dcterms:created xsi:type="dcterms:W3CDTF">2017-05-28T03:36:00Z</dcterms:created>
  <dcterms:modified xsi:type="dcterms:W3CDTF">2017-06-06T08:52:00Z</dcterms:modified>
</cp:coreProperties>
</file>