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436AB9C7" wp14:editId="7065CEC6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721687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4"/>
          <w:szCs w:val="28"/>
        </w:rPr>
      </w:pPr>
      <w:r w:rsidRPr="00721687">
        <w:rPr>
          <w:rFonts w:ascii="Times New Roman" w:eastAsia="Times New Roman" w:hAnsi="Times New Roman" w:cs="Times New Roman"/>
          <w:caps/>
          <w:kern w:val="0"/>
          <w:sz w:val="24"/>
          <w:szCs w:val="28"/>
        </w:rPr>
        <w:t>Saistošie noteikumi</w:t>
      </w:r>
    </w:p>
    <w:p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7"/>
        <w:gridCol w:w="2967"/>
        <w:gridCol w:w="3057"/>
      </w:tblGrid>
      <w:tr w:rsidR="00BA6602" w:rsidRPr="00D41AE9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A66944" w:rsidP="006B64F4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2018.gada 18.oktobrī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21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/2018</w:t>
            </w:r>
          </w:p>
          <w:p w:rsidR="00BA6602" w:rsidRPr="002519A6" w:rsidRDefault="00116CD0" w:rsidP="00291F00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bookmarkStart w:id="0" w:name="_GoBack"/>
            <w:bookmarkEnd w:id="0"/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D53A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</w:p>
        </w:tc>
      </w:tr>
    </w:tbl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:rsidR="00BA6602" w:rsidRPr="00D41AE9" w:rsidRDefault="00CD0860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Grozījums</w:t>
      </w:r>
      <w:r w:rsidR="00A6694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Ogres novada pašvaldības 2018.gada 21.jūnija saistošajos noteikumos Nr.12/2018 “</w:t>
      </w:r>
      <w:proofErr w:type="spellStart"/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Lokālplānojums</w:t>
      </w:r>
      <w:proofErr w:type="spellEnd"/>
      <w:r w:rsidR="00BA6602" w:rsidRPr="00D41AE9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kā Ogres novada teritorijas plānojuma grozījumi aizsargājamās apbūves teritorijās Ogres pilsētas centrā un tām piegulošajām teritorijām. Teritorijas iz</w:t>
      </w:r>
      <w:r w:rsidR="00A66944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m</w:t>
      </w:r>
      <w:r w:rsidR="00721687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antošanas un apbūves noteikumi”</w:t>
      </w:r>
    </w:p>
    <w:p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:rsidR="00A66944" w:rsidRDefault="00A66944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Izdarīt Ogres novada </w:t>
      </w:r>
      <w:r w:rsidRPr="00A66944">
        <w:rPr>
          <w:rFonts w:ascii="Times New Roman" w:hAnsi="Times New Roman" w:cs="Times New Roman"/>
          <w:sz w:val="24"/>
          <w:szCs w:val="24"/>
        </w:rPr>
        <w:t>pašvaldības 2018.gada 21.jūnija saistošajos noteikumos Nr.12/2018 “</w:t>
      </w:r>
      <w:proofErr w:type="spellStart"/>
      <w:r w:rsidRPr="00A66944">
        <w:rPr>
          <w:rFonts w:ascii="Times New Roman" w:hAnsi="Times New Roman" w:cs="Times New Roman"/>
          <w:sz w:val="24"/>
          <w:szCs w:val="24"/>
        </w:rPr>
        <w:t>Lokālplānojums</w:t>
      </w:r>
      <w:proofErr w:type="spellEnd"/>
      <w:r w:rsidRPr="00A66944">
        <w:rPr>
          <w:rFonts w:ascii="Times New Roman" w:hAnsi="Times New Roman" w:cs="Times New Roman"/>
          <w:sz w:val="24"/>
          <w:szCs w:val="24"/>
        </w:rPr>
        <w:t xml:space="preserve"> kā Ogres novada teritorijas plānojuma grozījumi aizsargājamās apbūves teritorijās Ogres pilsētas centrā un tām piegulošajām teritorijām. Teritorijas izm</w:t>
      </w:r>
      <w:r>
        <w:rPr>
          <w:rFonts w:ascii="Times New Roman" w:hAnsi="Times New Roman" w:cs="Times New Roman"/>
          <w:sz w:val="24"/>
          <w:szCs w:val="24"/>
        </w:rPr>
        <w:t xml:space="preserve">antošanas </w:t>
      </w:r>
      <w:r w:rsidR="00165FB0">
        <w:rPr>
          <w:rFonts w:ascii="Times New Roman" w:hAnsi="Times New Roman" w:cs="Times New Roman"/>
          <w:sz w:val="24"/>
          <w:szCs w:val="24"/>
        </w:rPr>
        <w:t>un apbūves noteikumi” (</w:t>
      </w:r>
      <w:r w:rsidR="00165FB0" w:rsidRPr="00165FB0">
        <w:rPr>
          <w:rFonts w:ascii="Times New Roman" w:hAnsi="Times New Roman" w:cs="Times New Roman"/>
          <w:sz w:val="24"/>
          <w:szCs w:val="24"/>
        </w:rPr>
        <w:t>“Latvijas Vēstnesis” Nr. 129 (6215) 2018.gada 29.jūnijā, oficiālās publikāci</w:t>
      </w:r>
      <w:r w:rsidR="00165FB0">
        <w:rPr>
          <w:rFonts w:ascii="Times New Roman" w:hAnsi="Times New Roman" w:cs="Times New Roman"/>
          <w:sz w:val="24"/>
          <w:szCs w:val="24"/>
        </w:rPr>
        <w:t>jas Nr.:2018/129.TP1) grozījumu</w:t>
      </w:r>
      <w:r>
        <w:rPr>
          <w:rFonts w:ascii="Times New Roman" w:hAnsi="Times New Roman" w:cs="Times New Roman"/>
          <w:sz w:val="24"/>
          <w:szCs w:val="24"/>
        </w:rPr>
        <w:t>, svītrojot 2.punktu</w:t>
      </w:r>
      <w:r w:rsidRPr="00A66944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:rsidTr="000B3952">
        <w:tc>
          <w:tcPr>
            <w:tcW w:w="4530" w:type="dxa"/>
          </w:tcPr>
          <w:p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  <w:proofErr w:type="spellEnd"/>
          </w:p>
        </w:tc>
      </w:tr>
    </w:tbl>
    <w:p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5kzjKFd+GiH9DFlCz6W3PJewsxhYbWFCGCWdCjKuG+LfCPeYj52C1W4YNgzLnhyklfIvVWt2KcC5KS4TJcp7g==" w:salt="3pCjhh5ZTeA4c0Hcnro/NA==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01D7A"/>
    <w:rsid w:val="000B3952"/>
    <w:rsid w:val="00116CD0"/>
    <w:rsid w:val="00123FAD"/>
    <w:rsid w:val="00165FB0"/>
    <w:rsid w:val="002519A6"/>
    <w:rsid w:val="00291F00"/>
    <w:rsid w:val="00383F2E"/>
    <w:rsid w:val="003A75AF"/>
    <w:rsid w:val="00465781"/>
    <w:rsid w:val="005A3D93"/>
    <w:rsid w:val="006265FC"/>
    <w:rsid w:val="00721687"/>
    <w:rsid w:val="00726EE1"/>
    <w:rsid w:val="007B2C08"/>
    <w:rsid w:val="008C3720"/>
    <w:rsid w:val="00A51357"/>
    <w:rsid w:val="00A66944"/>
    <w:rsid w:val="00BA6602"/>
    <w:rsid w:val="00CD0860"/>
    <w:rsid w:val="00D41AE9"/>
    <w:rsid w:val="00D53A74"/>
    <w:rsid w:val="00E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736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Lelde Balaško</cp:lastModifiedBy>
  <cp:revision>3</cp:revision>
  <cp:lastPrinted>2018-06-22T07:20:00Z</cp:lastPrinted>
  <dcterms:created xsi:type="dcterms:W3CDTF">2018-10-19T06:11:00Z</dcterms:created>
  <dcterms:modified xsi:type="dcterms:W3CDTF">2018-10-19T06:16:00Z</dcterms:modified>
</cp:coreProperties>
</file>