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2FA68" w14:textId="77777777" w:rsidR="0055213D" w:rsidRDefault="0055213D" w:rsidP="0055213D">
      <w:pPr>
        <w:jc w:val="center"/>
        <w:rPr>
          <w:rFonts w:ascii="Times New Roman Bold" w:hAnsi="Times New Roman Bold"/>
          <w:b/>
          <w:bCs/>
          <w:caps/>
        </w:rPr>
      </w:pPr>
      <w:r>
        <w:rPr>
          <w:rFonts w:ascii="Times New Roman Bold" w:hAnsi="Times New Roman Bold"/>
          <w:b/>
          <w:bCs/>
          <w:caps/>
        </w:rPr>
        <w:t xml:space="preserve">Paskaidrojuma raksts  </w:t>
      </w:r>
    </w:p>
    <w:p w14:paraId="16FD3D6D" w14:textId="77777777" w:rsidR="0055213D" w:rsidRDefault="0055213D" w:rsidP="0055213D">
      <w:pPr>
        <w:jc w:val="center"/>
        <w:rPr>
          <w:b/>
          <w:bCs/>
        </w:rPr>
      </w:pPr>
      <w:r>
        <w:rPr>
          <w:b/>
          <w:bCs/>
        </w:rPr>
        <w:t>par Ogres novada pašvaldības 2021. gada budžetu</w:t>
      </w:r>
    </w:p>
    <w:p w14:paraId="0C2A49AE" w14:textId="77777777" w:rsidR="0055213D" w:rsidRDefault="0055213D" w:rsidP="0055213D">
      <w:pPr>
        <w:rPr>
          <w:bCs/>
        </w:rPr>
      </w:pPr>
    </w:p>
    <w:p w14:paraId="4D594BD6" w14:textId="47CF29E8" w:rsidR="0055213D" w:rsidRPr="00411906" w:rsidRDefault="0055213D" w:rsidP="0055213D">
      <w:pPr>
        <w:jc w:val="center"/>
        <w:rPr>
          <w:bCs/>
          <w:iCs/>
        </w:rPr>
      </w:pPr>
      <w:r>
        <w:rPr>
          <w:b/>
          <w:i/>
          <w:iCs/>
        </w:rPr>
        <w:t xml:space="preserve">      </w:t>
      </w:r>
      <w:r w:rsidR="00411906" w:rsidRPr="00411906">
        <w:rPr>
          <w:b/>
          <w:iCs/>
        </w:rPr>
        <w:t>Ogres novada pašvaldības domes priekšsēdētāja Egila Helmaņa ievaduzruna par n</w:t>
      </w:r>
      <w:r w:rsidRPr="00411906">
        <w:rPr>
          <w:b/>
          <w:iCs/>
        </w:rPr>
        <w:t>ovada ekonomisk</w:t>
      </w:r>
      <w:r w:rsidR="00411906">
        <w:rPr>
          <w:b/>
          <w:iCs/>
        </w:rPr>
        <w:t>o</w:t>
      </w:r>
      <w:r w:rsidRPr="00411906">
        <w:rPr>
          <w:b/>
          <w:iCs/>
        </w:rPr>
        <w:t xml:space="preserve"> un sociāl</w:t>
      </w:r>
      <w:r w:rsidR="00411906">
        <w:rPr>
          <w:b/>
          <w:iCs/>
        </w:rPr>
        <w:t>o</w:t>
      </w:r>
      <w:r w:rsidRPr="00411906">
        <w:rPr>
          <w:b/>
          <w:iCs/>
        </w:rPr>
        <w:t xml:space="preserve"> situācij</w:t>
      </w:r>
      <w:r w:rsidR="00411906">
        <w:rPr>
          <w:b/>
          <w:iCs/>
        </w:rPr>
        <w:t>u</w:t>
      </w:r>
      <w:r w:rsidRPr="00411906">
        <w:rPr>
          <w:b/>
          <w:iCs/>
        </w:rPr>
        <w:t>, pašvaldības uzdevumi</w:t>
      </w:r>
      <w:r w:rsidR="00411906">
        <w:rPr>
          <w:b/>
          <w:iCs/>
        </w:rPr>
        <w:t>em</w:t>
      </w:r>
      <w:r w:rsidRPr="00411906">
        <w:rPr>
          <w:b/>
          <w:iCs/>
        </w:rPr>
        <w:t xml:space="preserve"> saimnieciskajā gadā un divos turpmākajos gados</w:t>
      </w:r>
      <w:r w:rsidRPr="00411906">
        <w:rPr>
          <w:bCs/>
          <w:iCs/>
        </w:rPr>
        <w:t xml:space="preserve">   </w:t>
      </w:r>
    </w:p>
    <w:p w14:paraId="75BF3059" w14:textId="77777777" w:rsidR="0055213D" w:rsidRDefault="0055213D" w:rsidP="0055213D">
      <w:pPr>
        <w:spacing w:line="360" w:lineRule="auto"/>
        <w:jc w:val="both"/>
        <w:rPr>
          <w:color w:val="000000"/>
        </w:rPr>
      </w:pPr>
      <w:r>
        <w:rPr>
          <w:color w:val="000000"/>
        </w:rPr>
        <w:t xml:space="preserve">   </w:t>
      </w:r>
    </w:p>
    <w:p w14:paraId="42AEBDD8" w14:textId="77777777" w:rsidR="00B03CF9" w:rsidRPr="00B03CF9" w:rsidRDefault="00B03CF9" w:rsidP="00B03CF9">
      <w:pPr>
        <w:spacing w:line="360" w:lineRule="auto"/>
        <w:ind w:firstLine="426"/>
        <w:jc w:val="both"/>
        <w:rPr>
          <w:rFonts w:eastAsiaTheme="minorEastAsia"/>
          <w:lang w:eastAsia="zh-CN"/>
        </w:rPr>
      </w:pPr>
      <w:r w:rsidRPr="00B03CF9">
        <w:rPr>
          <w:rFonts w:eastAsiaTheme="minorEastAsia"/>
          <w:lang w:eastAsia="zh-CN"/>
        </w:rPr>
        <w:t>Saskaņā ar Administratīvo teritoriju un apdzīvoto vietu likuma  pielikuma 28</w:t>
      </w:r>
      <w:r w:rsidRPr="002A57F9">
        <w:rPr>
          <w:rFonts w:eastAsiaTheme="minorEastAsia"/>
          <w:lang w:eastAsia="zh-CN"/>
        </w:rPr>
        <w:t>. punktu Ogres novads ir vienota administratīvā teritorija, ko veido šādas teritoriālā iedalījuma vienības:</w:t>
      </w:r>
      <w:r w:rsidRPr="00B03CF9">
        <w:rPr>
          <w:rFonts w:eastAsiaTheme="minorEastAsia"/>
          <w:lang w:eastAsia="zh-CN"/>
        </w:rPr>
        <w:t xml:space="preserve"> Birzgales pagasts, Ikšķiles pilsēta, Jumpravas pagasts, Krapes pagasts, Ķeguma pilsēta, Ķeipenes pagasts, Lauberes pagasts, Lēdmanes pagasts, Lielvārdes pagasts, Lielvārdes pilsēta, Madlienas pagasts, Mazozolu pagasts, Meņģeles pagasts, Ogres valstspilsēta, Ogresgala pagasts, Rembates pagasts, Suntažu pagasts, Taurupes pagasts, Tīnūžu pagasts, Tomes pagasts. Ogres novada administratīvais centrs ir Ogres valstspilsēta.</w:t>
      </w:r>
    </w:p>
    <w:p w14:paraId="44B5D685" w14:textId="77777777" w:rsidR="00B03CF9" w:rsidRPr="00B03CF9" w:rsidRDefault="00B03CF9" w:rsidP="00B03CF9">
      <w:pPr>
        <w:spacing w:line="360" w:lineRule="auto"/>
        <w:ind w:firstLine="426"/>
        <w:jc w:val="both"/>
        <w:rPr>
          <w:rFonts w:eastAsiaTheme="minorEastAsia"/>
          <w:lang w:eastAsia="zh-CN"/>
        </w:rPr>
      </w:pPr>
      <w:bookmarkStart w:id="0" w:name="_Hlk78288832"/>
      <w:r w:rsidRPr="00B03CF9">
        <w:rPr>
          <w:rFonts w:eastAsiaTheme="minorEastAsia"/>
          <w:lang w:eastAsia="zh-CN"/>
        </w:rPr>
        <w:t xml:space="preserve">Administratīvi teritoriālās reformas (ATR) rezultātā </w:t>
      </w:r>
      <w:bookmarkEnd w:id="0"/>
      <w:r w:rsidRPr="00B03CF9">
        <w:rPr>
          <w:rFonts w:eastAsiaTheme="minorEastAsia"/>
          <w:lang w:eastAsia="zh-CN"/>
        </w:rPr>
        <w:t xml:space="preserve">ar 2021. gada 30. jūniju beidza pastāvēt </w:t>
      </w:r>
      <w:bookmarkStart w:id="1" w:name="_Hlk78288630"/>
      <w:r w:rsidRPr="00B03CF9">
        <w:rPr>
          <w:rFonts w:eastAsiaTheme="minorEastAsia"/>
          <w:lang w:eastAsia="zh-CN"/>
        </w:rPr>
        <w:t xml:space="preserve">Ogres, Ikšķiles, Lielvārdes un Ķeguma </w:t>
      </w:r>
      <w:bookmarkEnd w:id="1"/>
      <w:r w:rsidRPr="00B03CF9">
        <w:rPr>
          <w:rFonts w:eastAsiaTheme="minorEastAsia"/>
          <w:lang w:eastAsia="zh-CN"/>
        </w:rPr>
        <w:t>novadu pašvaldības, tās apvienojot, ar   2021. gada 1. jūliju ir izveidota Ogres novada pašvaldība.</w:t>
      </w:r>
    </w:p>
    <w:p w14:paraId="0EF377FF" w14:textId="77777777" w:rsidR="00B03CF9" w:rsidRPr="00B03CF9" w:rsidRDefault="00B03CF9" w:rsidP="00B03CF9">
      <w:pPr>
        <w:spacing w:line="360" w:lineRule="auto"/>
        <w:ind w:firstLine="426"/>
        <w:jc w:val="both"/>
        <w:rPr>
          <w:rFonts w:eastAsiaTheme="minorEastAsia"/>
          <w:lang w:eastAsia="zh-CN"/>
        </w:rPr>
      </w:pPr>
      <w:r w:rsidRPr="00B03CF9">
        <w:rPr>
          <w:rFonts w:eastAsiaTheme="minorEastAsia"/>
          <w:lang w:eastAsia="zh-CN"/>
        </w:rPr>
        <w:t xml:space="preserve">Saskaņā ar Ministru kabineta 2020. gada 10. novembra noteikumiem Nr. 671 “Pašvaldību institūciju, finanšu, mantas, tiesību un saistību pārdales kārtība pēc administratīvo teritoriju robežu grozīšanas </w:t>
      </w:r>
      <w:r w:rsidRPr="002A57F9">
        <w:rPr>
          <w:rFonts w:eastAsiaTheme="minorEastAsia"/>
          <w:lang w:eastAsia="zh-CN"/>
        </w:rPr>
        <w:t>vai sadalīšanas” Ogre</w:t>
      </w:r>
      <w:r w:rsidR="00091451" w:rsidRPr="002A57F9">
        <w:rPr>
          <w:rFonts w:eastAsiaTheme="minorEastAsia"/>
          <w:lang w:eastAsia="zh-CN"/>
        </w:rPr>
        <w:t>s</w:t>
      </w:r>
      <w:r w:rsidRPr="002A57F9">
        <w:rPr>
          <w:rFonts w:eastAsiaTheme="minorEastAsia"/>
          <w:lang w:eastAsia="zh-CN"/>
        </w:rPr>
        <w:t xml:space="preserve"> novada pašvaldība pārņem tai piekrītošās</w:t>
      </w:r>
      <w:r w:rsidRPr="00B03CF9">
        <w:rPr>
          <w:rFonts w:eastAsiaTheme="minorEastAsia"/>
          <w:lang w:eastAsia="zh-CN"/>
        </w:rPr>
        <w:t xml:space="preserve"> reorganizējamās pašvaldības institūcijas, finanses, mantu, tiesības un saistības.</w:t>
      </w:r>
    </w:p>
    <w:p w14:paraId="2D4F36A6" w14:textId="77777777" w:rsidR="00B03CF9" w:rsidRPr="00B03CF9" w:rsidRDefault="00B03CF9" w:rsidP="00B03CF9">
      <w:pPr>
        <w:spacing w:line="360" w:lineRule="auto"/>
        <w:ind w:firstLine="426"/>
        <w:jc w:val="both"/>
        <w:rPr>
          <w:vertAlign w:val="superscript"/>
        </w:rPr>
      </w:pPr>
      <w:r w:rsidRPr="00B03CF9">
        <w:t>Ogres novada teritorijas platība ir 1 843 km</w:t>
      </w:r>
      <w:r w:rsidRPr="00B03CF9">
        <w:rPr>
          <w:vertAlign w:val="superscript"/>
        </w:rPr>
        <w:t>2</w:t>
      </w:r>
      <w:r w:rsidRPr="00B03CF9">
        <w:t>.</w:t>
      </w:r>
      <w:r w:rsidRPr="00B03CF9">
        <w:rPr>
          <w:vertAlign w:val="superscript"/>
        </w:rPr>
        <w:t xml:space="preserve"> </w:t>
      </w:r>
    </w:p>
    <w:p w14:paraId="52F03CF2" w14:textId="77777777" w:rsidR="00B03CF9" w:rsidRPr="00B03CF9" w:rsidRDefault="00B03CF9" w:rsidP="00B03CF9">
      <w:pPr>
        <w:spacing w:line="360" w:lineRule="auto"/>
        <w:jc w:val="both"/>
      </w:pPr>
      <w:r w:rsidRPr="00B03CF9">
        <w:t xml:space="preserve">     Iedzīvotāju skaita ziņā Ogres novads ir lielākais novads Latvijā – pēc Pilsonības un migrācijas lietu pārvaldes datiem, uz 2021. gada 1. janvāri novadā savu dzīvesvietu deklarējušas 61 366 personas. </w:t>
      </w:r>
    </w:p>
    <w:p w14:paraId="655EE40E" w14:textId="77777777" w:rsidR="00B03CF9" w:rsidRPr="00B03CF9" w:rsidRDefault="00B03CF9" w:rsidP="00B03CF9">
      <w:pPr>
        <w:spacing w:line="360" w:lineRule="auto"/>
        <w:ind w:firstLine="426"/>
        <w:jc w:val="both"/>
        <w:rPr>
          <w:color w:val="000000"/>
        </w:rPr>
      </w:pPr>
      <w:r w:rsidRPr="00B03CF9">
        <w:lastRenderedPageBreak/>
        <w:t>Pēc Nodarbinātības Valsts aģentūras datiem, b</w:t>
      </w:r>
      <w:r w:rsidRPr="00B03CF9">
        <w:rPr>
          <w:color w:val="000000"/>
        </w:rPr>
        <w:t xml:space="preserve">ezdarba līmenis uz 2021. gada 1. jūliju  ir </w:t>
      </w:r>
      <w:r w:rsidRPr="00B03CF9">
        <w:t xml:space="preserve">3,65 </w:t>
      </w:r>
      <w:r w:rsidRPr="00B03CF9">
        <w:rPr>
          <w:color w:val="000000"/>
        </w:rPr>
        <w:t>%,  reģistrēto bezdarbnieki skaits – 1283.</w:t>
      </w:r>
    </w:p>
    <w:p w14:paraId="045FEC9E" w14:textId="5107C5C9" w:rsidR="00B03CF9" w:rsidRPr="00B03CF9" w:rsidRDefault="00B03CF9" w:rsidP="00411906">
      <w:pPr>
        <w:spacing w:line="360" w:lineRule="auto"/>
        <w:ind w:firstLine="426"/>
        <w:jc w:val="both"/>
        <w:rPr>
          <w:bCs/>
        </w:rPr>
      </w:pPr>
      <w:r w:rsidRPr="00B03CF9">
        <w:rPr>
          <w:color w:val="000000"/>
        </w:rPr>
        <w:t xml:space="preserve"> </w:t>
      </w:r>
      <w:r w:rsidRPr="00091451">
        <w:rPr>
          <w:bCs/>
        </w:rPr>
        <w:t>Administratīvo</w:t>
      </w:r>
      <w:r w:rsidR="00091451" w:rsidRPr="00091451">
        <w:rPr>
          <w:bCs/>
        </w:rPr>
        <w:t xml:space="preserve"> </w:t>
      </w:r>
      <w:r w:rsidRPr="00091451">
        <w:rPr>
          <w:bCs/>
        </w:rPr>
        <w:t xml:space="preserve"> teritoriju un apdzīvoto vietu likumā, kas stājās spēkā 2020. gada 23. jūnijā, noteikts, ka,</w:t>
      </w:r>
      <w:r w:rsidRPr="00B03CF9">
        <w:rPr>
          <w:bCs/>
        </w:rPr>
        <w:t xml:space="preserve"> gatavojoties darbam pēc ATR, jaunveidojamā novada teritorijas attīstības plānošanas dokumentu izstrādi vada tā pašvaldība, kurā ir lielākais iedzīvotāju skaits atbilstoši aktuālajiem Iedzīvotāju reģistra datiem. </w:t>
      </w:r>
      <w:r w:rsidR="00411906">
        <w:rPr>
          <w:bCs/>
        </w:rPr>
        <w:t>Likumā noteikto esam ņēmuši vērā –</w:t>
      </w:r>
      <w:r w:rsidRPr="00B03CF9">
        <w:rPr>
          <w:bCs/>
        </w:rPr>
        <w:t xml:space="preserve"> Ogres novada pašvaldības dome kā iedzīvotāju skaita ziņā lielākās pašvaldības lēmējinstitūcija 2020. gada 17. septembrī pieņēma lēmumu pārtraukt Attīstības programmas izstrādi faktiskajai Ogres novada administratīvajai teritorijai, to integrējot jaunveidojamā novada attīstības programmas izstrādē, un uzsākt Ogres novada attīstības programmas 2021. – 2027. gadam Ogres, Ikšķiles, Lielvārdes un Ķeguma novadu faktiskajās administratīvajās robežās izstrādi, sadarbojoties ar iesaistīto novadu pašvaldībām.</w:t>
      </w:r>
      <w:r w:rsidRPr="00B03CF9">
        <w:t xml:space="preserve"> Savukārt 2020. gada 30</w:t>
      </w:r>
      <w:r w:rsidRPr="00B03CF9">
        <w:rPr>
          <w:bCs/>
        </w:rPr>
        <w:t>. novembrī Ogres novada pašvaldības dome pieņēma lēmumu par jaunveidojamā Ogres novada ilgtspējīgas attīstības stratēģijas 2021. – 2034. gadam izstrādes uzsākšanu. Jaunā novada attīstības un plānošana</w:t>
      </w:r>
      <w:r>
        <w:rPr>
          <w:bCs/>
        </w:rPr>
        <w:t>s</w:t>
      </w:r>
      <w:r w:rsidRPr="00B03CF9">
        <w:rPr>
          <w:bCs/>
        </w:rPr>
        <w:t xml:space="preserve"> dokumentu izstrāde šobrīd turpinās.</w:t>
      </w:r>
    </w:p>
    <w:p w14:paraId="6F0522B7" w14:textId="4C7F914B" w:rsidR="00B03CF9" w:rsidRDefault="00411906" w:rsidP="00B03CF9">
      <w:pPr>
        <w:spacing w:line="360" w:lineRule="auto"/>
        <w:ind w:firstLine="426"/>
        <w:jc w:val="both"/>
        <w:rPr>
          <w:bCs/>
        </w:rPr>
      </w:pPr>
      <w:r>
        <w:rPr>
          <w:color w:val="000000"/>
        </w:rPr>
        <w:t xml:space="preserve">Runājot par uzdevumiem šogad un turpmākajos gados, vēlos uzsvērt, ka </w:t>
      </w:r>
      <w:r w:rsidR="00A81267">
        <w:rPr>
          <w:color w:val="000000"/>
        </w:rPr>
        <w:t xml:space="preserve">jaunā </w:t>
      </w:r>
      <w:r w:rsidR="00B03CF9" w:rsidRPr="00B03CF9">
        <w:rPr>
          <w:color w:val="000000"/>
        </w:rPr>
        <w:t>Ogres novada pašvaldība 2021. gadā turpinās katrā novada teritoriālajā vienībā jau iesāktos</w:t>
      </w:r>
      <w:r w:rsidR="00B03CF9" w:rsidRPr="00B03CF9">
        <w:rPr>
          <w:bCs/>
        </w:rPr>
        <w:t xml:space="preserve"> Eiropas Savienības un citu investīciju avotu finansētos projektus, kā arī piesaistīs finansējumu jaunu projektu realizēšanai, </w:t>
      </w:r>
      <w:r w:rsidR="00A81267">
        <w:rPr>
          <w:bCs/>
        </w:rPr>
        <w:t xml:space="preserve">savlaicīgi gatavojot projektu pieteikumus un ar tiem saistīto dokumentāciju, </w:t>
      </w:r>
      <w:r w:rsidR="00B03CF9" w:rsidRPr="00B03CF9">
        <w:rPr>
          <w:bCs/>
        </w:rPr>
        <w:t xml:space="preserve">atbildīgi plānojot pašvaldības budžetu un mērķtiecīgi izmantojot pieejamos finanšu resursus, lai spētu ne tikai nodrošināt ikdienas funkciju izpildi, bet arī visu pašvaldības kompetencē esošo darbības jomu pilnveidošanu. </w:t>
      </w:r>
    </w:p>
    <w:p w14:paraId="7F9B22F5" w14:textId="568566B9" w:rsidR="00411906" w:rsidRPr="00A21DF5" w:rsidRDefault="00A81267" w:rsidP="00411906">
      <w:pPr>
        <w:tabs>
          <w:tab w:val="left" w:pos="1990"/>
        </w:tabs>
        <w:spacing w:line="360" w:lineRule="auto"/>
        <w:ind w:firstLine="426"/>
        <w:jc w:val="both"/>
      </w:pPr>
      <w:r>
        <w:t>Tāpat vēlos uzsvērt, ka j</w:t>
      </w:r>
      <w:r w:rsidR="00411906" w:rsidRPr="00A21DF5">
        <w:t>aunā Ogres novada pašvaldības konsolidētais budžets nav visu bijušo novadu pašvaldību budžetu aritmētiskā summa</w:t>
      </w:r>
      <w:r w:rsidR="00411906">
        <w:t xml:space="preserve"> – šis b</w:t>
      </w:r>
      <w:r w:rsidR="00411906" w:rsidRPr="00A21DF5">
        <w:t xml:space="preserve">udžets ir finanšu instruments turpmākajam darba cēlienam, instruments, ar kuru četras pašvaldības un to iedzīvotāji uzsāk kopīgu dzīvi </w:t>
      </w:r>
      <w:r w:rsidR="00411906" w:rsidRPr="00A21DF5">
        <w:lastRenderedPageBreak/>
        <w:t>daudz plašākā teritorijā un daudz kuplākā saimē. Līdz šim četru novadu pašvaldības dzīvoja un strādāja līdzās kā kaimiņi, cits citu vērodami, iespēju robežās sadarbodamies, tomēr vairāk katrs par savu novadu domādami un rūpēdamies, savā starpā konkurēdami dažādu projektu konkursos, lai iegūtu finansējumu sava novada attīstībai. Jaunais Ogres novads ir “</w:t>
      </w:r>
      <w:r w:rsidR="00411906">
        <w:t>č</w:t>
      </w:r>
      <w:r w:rsidR="00411906" w:rsidRPr="00A21DF5">
        <w:t>etri vienā” – četri vienlīdzīgi vienas saimes locekļi – ar kopīgu budžetu, ar kopīgu, uz vis</w:t>
      </w:r>
      <w:r w:rsidR="00411906">
        <w:t>a novada attīstību un izaugsmi v</w:t>
      </w:r>
      <w:r w:rsidR="00411906" w:rsidRPr="00A21DF5">
        <w:t xml:space="preserve">ērstu mērķi, ar kopīgu darbu visu novada iedzīvotāju labā. </w:t>
      </w:r>
    </w:p>
    <w:p w14:paraId="7D991998" w14:textId="77777777" w:rsidR="00411906" w:rsidRDefault="00411906" w:rsidP="00411906">
      <w:pPr>
        <w:tabs>
          <w:tab w:val="left" w:pos="1990"/>
        </w:tabs>
        <w:spacing w:line="360" w:lineRule="auto"/>
        <w:jc w:val="both"/>
      </w:pPr>
      <w:r w:rsidRPr="00A21DF5">
        <w:t xml:space="preserve">      Esmu pārliecināts, ka jaunajā pašvaldībā spēsim strādāt sekmīgi, plānot darbus ilgtermiņā un laikus gatavoties to izpildei, spēsim rast nepieciešamos resursus novada attīstības dokumentos izvirzīto mērķu sasniegšanai, </w:t>
      </w:r>
      <w:r w:rsidRPr="00063B56">
        <w:t>nodrošinot v</w:t>
      </w:r>
      <w:r w:rsidRPr="00A21DF5">
        <w:t>isu jaunajā novadā ietilpstošo teritoriālo vienību attīstības nepārtrauktību.</w:t>
      </w:r>
      <w:r>
        <w:t xml:space="preserve"> </w:t>
      </w:r>
    </w:p>
    <w:p w14:paraId="25B14233" w14:textId="2176C2F0" w:rsidR="00411906" w:rsidRPr="00411906" w:rsidRDefault="00411906" w:rsidP="00411906">
      <w:pPr>
        <w:spacing w:line="360" w:lineRule="auto"/>
        <w:jc w:val="center"/>
        <w:rPr>
          <w:b/>
          <w:bCs/>
        </w:rPr>
      </w:pPr>
      <w:r w:rsidRPr="00411906">
        <w:rPr>
          <w:b/>
          <w:bCs/>
        </w:rPr>
        <w:t>Paskaidrojum</w:t>
      </w:r>
      <w:r w:rsidR="0052260D">
        <w:rPr>
          <w:b/>
          <w:bCs/>
        </w:rPr>
        <w:t>s</w:t>
      </w:r>
      <w:r w:rsidRPr="00411906">
        <w:rPr>
          <w:b/>
          <w:bCs/>
        </w:rPr>
        <w:t xml:space="preserve"> par Ogres novada pašvaldības 2021. gada budžetu</w:t>
      </w:r>
    </w:p>
    <w:p w14:paraId="4DB63BCA" w14:textId="02D400D2" w:rsidR="005B514C" w:rsidRPr="005B514C" w:rsidRDefault="00411906" w:rsidP="00411906">
      <w:pPr>
        <w:tabs>
          <w:tab w:val="left" w:pos="426"/>
        </w:tabs>
        <w:spacing w:line="360" w:lineRule="auto"/>
        <w:jc w:val="both"/>
        <w:rPr>
          <w:szCs w:val="20"/>
        </w:rPr>
      </w:pPr>
      <w:r>
        <w:rPr>
          <w:b/>
        </w:rPr>
        <w:t xml:space="preserve">       </w:t>
      </w:r>
      <w:r w:rsidR="005B514C">
        <w:rPr>
          <w:szCs w:val="20"/>
        </w:rPr>
        <w:t>J</w:t>
      </w:r>
      <w:r w:rsidR="005B514C" w:rsidRPr="005B514C">
        <w:rPr>
          <w:szCs w:val="20"/>
        </w:rPr>
        <w:t xml:space="preserve">aunā </w:t>
      </w:r>
      <w:r w:rsidR="005B514C">
        <w:rPr>
          <w:szCs w:val="20"/>
        </w:rPr>
        <w:t xml:space="preserve">Ogres </w:t>
      </w:r>
      <w:r w:rsidR="005B514C" w:rsidRPr="005B514C">
        <w:rPr>
          <w:szCs w:val="20"/>
        </w:rPr>
        <w:t xml:space="preserve">novada pašvaldība ir visu tās sastāvā iekļauto </w:t>
      </w:r>
      <w:r w:rsidR="00B03CF9" w:rsidRPr="00B03CF9">
        <w:rPr>
          <w:szCs w:val="20"/>
        </w:rPr>
        <w:t>Ogres, Ikšķiles, Lielvārdes un Ķeguma</w:t>
      </w:r>
      <w:r w:rsidR="00B03CF9">
        <w:rPr>
          <w:szCs w:val="20"/>
        </w:rPr>
        <w:t xml:space="preserve"> novadu</w:t>
      </w:r>
      <w:r w:rsidR="005B514C" w:rsidRPr="005B514C">
        <w:rPr>
          <w:szCs w:val="20"/>
        </w:rPr>
        <w:t xml:space="preserve"> pašvaldību budžetu saistību pārņēmēja. </w:t>
      </w:r>
      <w:r w:rsidR="0069450B" w:rsidRPr="000848B1">
        <w:rPr>
          <w:szCs w:val="20"/>
        </w:rPr>
        <w:t xml:space="preserve">Jaunajai Ogres novada pašvaldībai ir vienots budžets, kuru apstiprina Ogres novada </w:t>
      </w:r>
      <w:r w:rsidR="00091451">
        <w:rPr>
          <w:szCs w:val="20"/>
        </w:rPr>
        <w:t xml:space="preserve">pašvaldības </w:t>
      </w:r>
      <w:r w:rsidR="0069450B" w:rsidRPr="000848B1">
        <w:rPr>
          <w:szCs w:val="20"/>
        </w:rPr>
        <w:t>dome.</w:t>
      </w:r>
    </w:p>
    <w:p w14:paraId="6320A05A" w14:textId="77777777" w:rsidR="0055213D" w:rsidRDefault="00CF7453" w:rsidP="009C6E6E">
      <w:pPr>
        <w:spacing w:line="360" w:lineRule="auto"/>
        <w:ind w:firstLine="426"/>
        <w:jc w:val="both"/>
      </w:pPr>
      <w:r>
        <w:t>Ogres n</w:t>
      </w:r>
      <w:r w:rsidR="0055213D">
        <w:t xml:space="preserve">ovada pašvaldības konsolidētais budžets ir sagatavots saskaņā ar likumu “Par pašvaldībām” un pamatojoties uz likumiem “Par pašvaldību budžetiem”, “Par budžetu un finanšu vadību”, LR Ministru kabineta noteikumos apstiprināto budžeta ieņēmumu, izdevumu un valdības funkciju un finansēšanas klasifikāciju. </w:t>
      </w:r>
    </w:p>
    <w:p w14:paraId="75B49314" w14:textId="77777777" w:rsidR="00EC00DE" w:rsidRDefault="00EC00DE" w:rsidP="00EC00DE">
      <w:pPr>
        <w:spacing w:line="360" w:lineRule="auto"/>
        <w:ind w:firstLine="426"/>
        <w:jc w:val="both"/>
        <w:rPr>
          <w:bCs/>
        </w:rPr>
      </w:pPr>
      <w:r w:rsidRPr="00594EB8">
        <w:rPr>
          <w:bCs/>
        </w:rPr>
        <w:t>Jaunizveidotā</w:t>
      </w:r>
      <w:r w:rsidR="000848B1" w:rsidRPr="00594EB8">
        <w:rPr>
          <w:bCs/>
        </w:rPr>
        <w:t xml:space="preserve"> Ogres novada</w:t>
      </w:r>
      <w:r w:rsidRPr="00594EB8">
        <w:rPr>
          <w:bCs/>
        </w:rPr>
        <w:t xml:space="preserve"> pašvaldība apvieno </w:t>
      </w:r>
      <w:r w:rsidR="000848B1" w:rsidRPr="00594EB8">
        <w:rPr>
          <w:szCs w:val="20"/>
        </w:rPr>
        <w:t xml:space="preserve">Ogres, Ikšķiles, Lielvārdes un Ķeguma novadu pašvaldību </w:t>
      </w:r>
      <w:r w:rsidRPr="00594EB8">
        <w:rPr>
          <w:bCs/>
        </w:rPr>
        <w:t>saimnieciskā gada budžetus</w:t>
      </w:r>
      <w:r w:rsidR="000848B1" w:rsidRPr="002A57F9">
        <w:rPr>
          <w:bCs/>
        </w:rPr>
        <w:t>, vienlai</w:t>
      </w:r>
      <w:r w:rsidR="00091451" w:rsidRPr="002A57F9">
        <w:rPr>
          <w:bCs/>
        </w:rPr>
        <w:t xml:space="preserve">kus, pamatojoties uz </w:t>
      </w:r>
      <w:r w:rsidR="00594EB8" w:rsidRPr="002A57F9">
        <w:rPr>
          <w:bCs/>
        </w:rPr>
        <w:t>domes pieņemtajiem lēmumiem par vienotas pārvaldes, būvvaldes, dzimtsarakstu nodaļas, izglītības pārvaldes un bāriņtiesas izveidošanu un</w:t>
      </w:r>
      <w:r w:rsidR="00CA471E" w:rsidRPr="002A57F9">
        <w:rPr>
          <w:bCs/>
        </w:rPr>
        <w:t xml:space="preserve"> strukturāl</w:t>
      </w:r>
      <w:r w:rsidR="00594EB8" w:rsidRPr="002A57F9">
        <w:rPr>
          <w:bCs/>
        </w:rPr>
        <w:t>ajām</w:t>
      </w:r>
      <w:r w:rsidR="00CA471E" w:rsidRPr="002A57F9">
        <w:rPr>
          <w:bCs/>
        </w:rPr>
        <w:t xml:space="preserve"> izmaiņ</w:t>
      </w:r>
      <w:r w:rsidR="00594EB8" w:rsidRPr="002A57F9">
        <w:rPr>
          <w:bCs/>
        </w:rPr>
        <w:t>ām</w:t>
      </w:r>
      <w:r w:rsidR="00091451" w:rsidRPr="002A57F9">
        <w:rPr>
          <w:bCs/>
        </w:rPr>
        <w:t>,</w:t>
      </w:r>
      <w:r w:rsidR="00594EB8" w:rsidRPr="002A57F9">
        <w:rPr>
          <w:bCs/>
        </w:rPr>
        <w:t xml:space="preserve"> ir veikti aprēķini budžeta plānā.</w:t>
      </w:r>
      <w:r w:rsidR="00CA471E">
        <w:rPr>
          <w:bCs/>
        </w:rPr>
        <w:t xml:space="preserve"> </w:t>
      </w:r>
    </w:p>
    <w:p w14:paraId="2B7B662B" w14:textId="7D07C416" w:rsidR="000D2295" w:rsidRPr="00A65A93" w:rsidRDefault="000D2295" w:rsidP="000D2295">
      <w:pPr>
        <w:spacing w:line="360" w:lineRule="auto"/>
        <w:ind w:firstLine="426"/>
        <w:jc w:val="both"/>
      </w:pPr>
      <w:r>
        <w:t>Saskaņā ar Administratīvo teritoriju un apdzīvoto vietu likuma Pārejas noteikumu 19.</w:t>
      </w:r>
      <w:r w:rsidR="00411906">
        <w:t xml:space="preserve"> </w:t>
      </w:r>
      <w:r>
        <w:t xml:space="preserve">punktā </w:t>
      </w:r>
      <w:r w:rsidRPr="002A57F9">
        <w:t>noteikto pēc 2021.</w:t>
      </w:r>
      <w:r>
        <w:t xml:space="preserve"> gada 1. jūlija jaunizveidotajai Ogres novada pašvaldībai līdzekļi no valsts </w:t>
      </w:r>
      <w:r>
        <w:lastRenderedPageBreak/>
        <w:t xml:space="preserve">budžeta (dotācijas un mērķdotācijas gadskārtējā valsts budžeta likuma ietvaros), dotācijas no </w:t>
      </w:r>
      <w:r w:rsidR="00F93E89">
        <w:t>p</w:t>
      </w:r>
      <w:r>
        <w:t xml:space="preserve">ašvaldību finanšu izlīdzināšanas fonda un iemaksas </w:t>
      </w:r>
      <w:r w:rsidR="00F93E89">
        <w:t>p</w:t>
      </w:r>
      <w:r>
        <w:t xml:space="preserve">ašvaldību finanšu izlīdzināšanas fondā, iedzīvotāju ienākuma </w:t>
      </w:r>
      <w:r w:rsidR="00F93E89">
        <w:t>n</w:t>
      </w:r>
      <w:r>
        <w:t>odokļa pārskaitījumi un citi maksājumi, ko veic Valsts kase, tiek pārskaitīti kā summa no apvienojamām pašvaldībām apstiprinātajiem līdzekļiem.</w:t>
      </w:r>
    </w:p>
    <w:p w14:paraId="26CFD167" w14:textId="77777777" w:rsidR="00770EB2" w:rsidRPr="006B7C3D" w:rsidRDefault="00770EB2" w:rsidP="006B7C3D">
      <w:pPr>
        <w:ind w:firstLine="426"/>
        <w:jc w:val="center"/>
        <w:rPr>
          <w:b/>
          <w:bCs/>
          <w:caps/>
        </w:rPr>
      </w:pPr>
      <w:r w:rsidRPr="006B7C3D">
        <w:rPr>
          <w:b/>
          <w:bCs/>
          <w:caps/>
        </w:rPr>
        <w:t>Ogres novada pašvaldības 2021. gada</w:t>
      </w:r>
    </w:p>
    <w:p w14:paraId="0DA12507" w14:textId="77777777" w:rsidR="00770EB2" w:rsidRPr="006B7C3D" w:rsidRDefault="00770EB2" w:rsidP="00770EB2">
      <w:pPr>
        <w:jc w:val="center"/>
        <w:rPr>
          <w:b/>
          <w:bCs/>
          <w:caps/>
        </w:rPr>
      </w:pPr>
      <w:r w:rsidRPr="006B7C3D">
        <w:rPr>
          <w:b/>
          <w:bCs/>
          <w:caps/>
        </w:rPr>
        <w:t xml:space="preserve"> budžeta ieņēmumi</w:t>
      </w:r>
    </w:p>
    <w:p w14:paraId="7A163164" w14:textId="77777777" w:rsidR="00770EB2" w:rsidRPr="006B7C3D" w:rsidRDefault="00770EB2" w:rsidP="00770EB2">
      <w:pPr>
        <w:jc w:val="both"/>
        <w:rPr>
          <w:b/>
          <w:bCs/>
          <w:i/>
          <w:iCs/>
        </w:rPr>
      </w:pPr>
    </w:p>
    <w:p w14:paraId="4071BDD8" w14:textId="77777777" w:rsidR="006B7C3D" w:rsidRDefault="00770EB2" w:rsidP="006B7C3D">
      <w:pPr>
        <w:spacing w:line="360" w:lineRule="auto"/>
        <w:ind w:firstLine="426"/>
        <w:jc w:val="both"/>
      </w:pPr>
      <w:r w:rsidRPr="006B7C3D">
        <w:t>Ogres novada pašvaldības 2021. gada budžeta ieņēmumi</w:t>
      </w:r>
      <w:r w:rsidR="004B2370">
        <w:t xml:space="preserve"> pēc ATR</w:t>
      </w:r>
      <w:r w:rsidRPr="006B7C3D">
        <w:t xml:space="preserve"> </w:t>
      </w:r>
      <w:r w:rsidRPr="00B26DF3">
        <w:t xml:space="preserve">plānoti </w:t>
      </w:r>
      <w:r w:rsidR="00EC00DE" w:rsidRPr="00B26DF3">
        <w:rPr>
          <w:b/>
          <w:bCs/>
        </w:rPr>
        <w:t>81</w:t>
      </w:r>
      <w:r w:rsidR="00771F78" w:rsidRPr="00B26DF3">
        <w:rPr>
          <w:b/>
          <w:bCs/>
        </w:rPr>
        <w:t> 698 901</w:t>
      </w:r>
      <w:r w:rsidRPr="00B26DF3">
        <w:rPr>
          <w:b/>
          <w:bCs/>
        </w:rPr>
        <w:t xml:space="preserve"> </w:t>
      </w:r>
      <w:r w:rsidRPr="006B7C3D">
        <w:rPr>
          <w:b/>
          <w:bCs/>
        </w:rPr>
        <w:t>eiro</w:t>
      </w:r>
      <w:r w:rsidRPr="006B7C3D">
        <w:t xml:space="preserve"> apmērā</w:t>
      </w:r>
      <w:r w:rsidR="0069450B">
        <w:t>.</w:t>
      </w:r>
    </w:p>
    <w:p w14:paraId="64B5F583" w14:textId="77777777" w:rsidR="0053731F" w:rsidRDefault="0053731F" w:rsidP="0053731F">
      <w:pPr>
        <w:spacing w:line="360" w:lineRule="auto"/>
        <w:jc w:val="both"/>
        <w:rPr>
          <w:b/>
          <w:bCs/>
          <w:caps/>
        </w:rPr>
      </w:pPr>
      <w:r>
        <w:rPr>
          <w:noProof/>
        </w:rPr>
        <w:drawing>
          <wp:inline distT="0" distB="0" distL="0" distR="0" wp14:anchorId="7771441F" wp14:editId="4F4F4EF9">
            <wp:extent cx="5760085" cy="4482578"/>
            <wp:effectExtent l="0" t="0" r="12065" b="13335"/>
            <wp:docPr id="1" name="Diagramma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33467F-6F78-4039-8CBB-2DFC83AAFB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98A15F" w14:textId="11280F12" w:rsidR="000F4A66" w:rsidRPr="0052260D" w:rsidRDefault="000F4A66" w:rsidP="0052260D">
      <w:pPr>
        <w:pStyle w:val="Sarakstarindkopa"/>
        <w:numPr>
          <w:ilvl w:val="0"/>
          <w:numId w:val="6"/>
        </w:numPr>
        <w:spacing w:line="360" w:lineRule="auto"/>
        <w:ind w:left="851" w:hanging="284"/>
        <w:jc w:val="both"/>
        <w:rPr>
          <w:i/>
          <w:iCs/>
        </w:rPr>
      </w:pPr>
      <w:r w:rsidRPr="0052260D">
        <w:rPr>
          <w:i/>
          <w:iCs/>
        </w:rPr>
        <w:t>att. Ogres novada pašvaldības budžeta ieņēmumu struktūra (%)</w:t>
      </w:r>
    </w:p>
    <w:p w14:paraId="1ED94B3C" w14:textId="5A83E501" w:rsidR="0052260D" w:rsidRPr="0052260D" w:rsidRDefault="0052260D" w:rsidP="0052260D">
      <w:pPr>
        <w:spacing w:line="360" w:lineRule="auto"/>
        <w:ind w:firstLine="207"/>
        <w:jc w:val="both"/>
      </w:pPr>
      <w:r>
        <w:lastRenderedPageBreak/>
        <w:t xml:space="preserve">   </w:t>
      </w:r>
      <w:r w:rsidRPr="0052260D">
        <w:t>Ieņēmumu palielinājumu 508 187 eiro veido valsts budžeta transferti Ogres novada pašvaldības iestādēm Valsts programmas “Atbalsts bērnu un jauniešu nometņu organizēšanai” ietvaros” 74 157 eiro apjomā un valsts finansējums diviem augstas gatavības projektiem. Ieņēmumu apjomu ietekmē arī dotācijas no pašvaldību finanšu izlīdzināšanas fonda samazinājums par 2021.gadā Ikšķiles novada pašvaldības nesamaksātajiem atskaitījumiem finanšu izlīdzināšanas fondam.</w:t>
      </w:r>
    </w:p>
    <w:p w14:paraId="017379E1" w14:textId="77777777" w:rsidR="0097381D" w:rsidRPr="00BD1F90" w:rsidRDefault="00770EB2" w:rsidP="0097381D">
      <w:pPr>
        <w:spacing w:line="360" w:lineRule="auto"/>
        <w:ind w:firstLine="426"/>
        <w:jc w:val="both"/>
        <w:rPr>
          <w:b/>
          <w:bCs/>
        </w:rPr>
      </w:pPr>
      <w:r w:rsidRPr="00BD1F90">
        <w:rPr>
          <w:b/>
          <w:bCs/>
          <w:caps/>
        </w:rPr>
        <w:t>Nodokļu ieņēmumi</w:t>
      </w:r>
      <w:r w:rsidRPr="00BD1F90">
        <w:rPr>
          <w:b/>
          <w:bCs/>
        </w:rPr>
        <w:t xml:space="preserve">: </w:t>
      </w:r>
      <w:r w:rsidRPr="00BD1F90">
        <w:t>2021. gada budžeta ieņēmumos lielākais īpatsvars – 5</w:t>
      </w:r>
      <w:r w:rsidR="00771F78" w:rsidRPr="00BD1F90">
        <w:t>4</w:t>
      </w:r>
      <w:r w:rsidRPr="00BD1F90">
        <w:t>.</w:t>
      </w:r>
      <w:r w:rsidR="00771F78" w:rsidRPr="00BD1F90">
        <w:t>5</w:t>
      </w:r>
      <w:r w:rsidRPr="00BD1F90">
        <w:t xml:space="preserve"> % – ir nodokļu ieņēmumiem, plānotā ieņēmumu summa ir </w:t>
      </w:r>
      <w:r w:rsidR="00771F78" w:rsidRPr="00BD1F90">
        <w:rPr>
          <w:b/>
        </w:rPr>
        <w:t>44 511 200</w:t>
      </w:r>
      <w:r w:rsidRPr="00BD1F90">
        <w:t xml:space="preserve"> </w:t>
      </w:r>
      <w:r w:rsidRPr="00BD1F90">
        <w:rPr>
          <w:b/>
        </w:rPr>
        <w:t>eiro</w:t>
      </w:r>
      <w:r w:rsidRPr="00BD1F90">
        <w:t>.</w:t>
      </w:r>
      <w:r w:rsidRPr="000F4A66">
        <w:t xml:space="preserve"> </w:t>
      </w:r>
    </w:p>
    <w:p w14:paraId="46176157" w14:textId="77777777" w:rsidR="00BD1F90" w:rsidRPr="002A57F9" w:rsidRDefault="00770EB2" w:rsidP="0097381D">
      <w:pPr>
        <w:spacing w:line="360" w:lineRule="auto"/>
        <w:ind w:firstLine="426"/>
        <w:jc w:val="both"/>
      </w:pPr>
      <w:r w:rsidRPr="00BD1F90">
        <w:rPr>
          <w:b/>
          <w:bCs/>
        </w:rPr>
        <w:t>Iedzīvotāju ienākuma nodokļa (IIN)</w:t>
      </w:r>
      <w:r w:rsidRPr="00BD1F90">
        <w:t xml:space="preserve"> īpatsvars nodokļu ieņēmumos ir </w:t>
      </w:r>
      <w:r w:rsidRPr="002A57F9">
        <w:t>9</w:t>
      </w:r>
      <w:r w:rsidR="00771F78" w:rsidRPr="002A57F9">
        <w:t>2</w:t>
      </w:r>
      <w:r w:rsidR="00005B53" w:rsidRPr="002A57F9">
        <w:t>,</w:t>
      </w:r>
      <w:r w:rsidR="00771F78" w:rsidRPr="002A57F9">
        <w:t>0</w:t>
      </w:r>
      <w:r w:rsidRPr="002A57F9">
        <w:t xml:space="preserve"> %, p</w:t>
      </w:r>
      <w:r w:rsidR="00771F78" w:rsidRPr="002A57F9">
        <w:t>lāno</w:t>
      </w:r>
      <w:r w:rsidRPr="002A57F9">
        <w:t xml:space="preserve">tā summa </w:t>
      </w:r>
      <w:r w:rsidR="00BD1F90" w:rsidRPr="002A57F9">
        <w:t>40 931 345</w:t>
      </w:r>
      <w:r w:rsidRPr="002A57F9">
        <w:t xml:space="preserve"> eiro</w:t>
      </w:r>
      <w:r w:rsidR="00BD1F90" w:rsidRPr="002A57F9">
        <w:t>.</w:t>
      </w:r>
      <w:r w:rsidRPr="002A57F9">
        <w:t xml:space="preserve"> </w:t>
      </w:r>
    </w:p>
    <w:p w14:paraId="09FE0DB8" w14:textId="77777777" w:rsidR="0097381D" w:rsidRPr="00BD1F90" w:rsidRDefault="00BD1F90" w:rsidP="0097381D">
      <w:pPr>
        <w:spacing w:line="360" w:lineRule="auto"/>
        <w:ind w:firstLine="426"/>
        <w:jc w:val="both"/>
      </w:pPr>
      <w:r w:rsidRPr="002A57F9">
        <w:rPr>
          <w:b/>
          <w:bCs/>
        </w:rPr>
        <w:t>N</w:t>
      </w:r>
      <w:r w:rsidR="00770EB2" w:rsidRPr="002A57F9">
        <w:rPr>
          <w:b/>
          <w:bCs/>
        </w:rPr>
        <w:t>ekustamā īpašuma nodokļa (NĪN)</w:t>
      </w:r>
      <w:r w:rsidR="00770EB2" w:rsidRPr="002A57F9">
        <w:t xml:space="preserve"> īpatsvars nodokļu ieņēmumos ir </w:t>
      </w:r>
      <w:r w:rsidRPr="002A57F9">
        <w:t>7</w:t>
      </w:r>
      <w:r w:rsidR="00005B53" w:rsidRPr="002A57F9">
        <w:t>,</w:t>
      </w:r>
      <w:r w:rsidRPr="002A57F9">
        <w:t>7</w:t>
      </w:r>
      <w:r w:rsidR="00770EB2" w:rsidRPr="002A57F9">
        <w:t xml:space="preserve"> %</w:t>
      </w:r>
      <w:r w:rsidR="00770EB2" w:rsidRPr="00BD1F90">
        <w:t xml:space="preserve"> un veido ieņēmumus </w:t>
      </w:r>
      <w:r w:rsidRPr="00BD1F90">
        <w:t>3 445 205</w:t>
      </w:r>
      <w:r w:rsidR="00770EB2" w:rsidRPr="00BD1F90">
        <w:t xml:space="preserve"> eiro apmērā</w:t>
      </w:r>
      <w:r w:rsidR="003B41D3" w:rsidRPr="00BD1F90">
        <w:t>.</w:t>
      </w:r>
      <w:r w:rsidR="00770EB2" w:rsidRPr="00BD1F90">
        <w:t xml:space="preserve"> </w:t>
      </w:r>
      <w:r w:rsidR="003B41D3" w:rsidRPr="00BD1F90">
        <w:t>I</w:t>
      </w:r>
      <w:r w:rsidR="00770EB2" w:rsidRPr="00BD1F90">
        <w:t>eņēmum</w:t>
      </w:r>
      <w:r w:rsidR="003B41D3" w:rsidRPr="00BD1F90">
        <w:t>i</w:t>
      </w:r>
      <w:r w:rsidR="00770EB2" w:rsidRPr="00BD1F90">
        <w:t xml:space="preserve"> no </w:t>
      </w:r>
      <w:r w:rsidR="00770EB2" w:rsidRPr="00BD1F90">
        <w:rPr>
          <w:b/>
          <w:bCs/>
        </w:rPr>
        <w:t xml:space="preserve">dabas resursu nodokļa </w:t>
      </w:r>
      <w:r w:rsidR="00770EB2" w:rsidRPr="00BD1F90">
        <w:rPr>
          <w:bCs/>
        </w:rPr>
        <w:t>pašvaldības</w:t>
      </w:r>
      <w:r w:rsidR="003B41D3" w:rsidRPr="00BD1F90">
        <w:rPr>
          <w:bCs/>
        </w:rPr>
        <w:t xml:space="preserve"> budžetā </w:t>
      </w:r>
      <w:r w:rsidR="00770EB2" w:rsidRPr="00BD1F90">
        <w:rPr>
          <w:bCs/>
        </w:rPr>
        <w:t xml:space="preserve">ir </w:t>
      </w:r>
      <w:r w:rsidR="00770EB2" w:rsidRPr="00BD1F90">
        <w:t>neliel</w:t>
      </w:r>
      <w:r w:rsidR="003B41D3" w:rsidRPr="00BD1F90">
        <w:t>i</w:t>
      </w:r>
      <w:r w:rsidR="00770EB2" w:rsidRPr="00BD1F90">
        <w:t xml:space="preserve"> </w:t>
      </w:r>
      <w:r w:rsidRPr="00BD1F90">
        <w:t>–</w:t>
      </w:r>
      <w:r w:rsidR="003B41D3" w:rsidRPr="00BD1F90">
        <w:t xml:space="preserve"> </w:t>
      </w:r>
      <w:r w:rsidRPr="00BD1F90">
        <w:t>109 650</w:t>
      </w:r>
      <w:r w:rsidR="00770EB2" w:rsidRPr="00BD1F90">
        <w:t xml:space="preserve"> eiro; ieņēmumi no </w:t>
      </w:r>
      <w:r w:rsidR="00770EB2" w:rsidRPr="00BD1F90">
        <w:rPr>
          <w:b/>
          <w:bCs/>
        </w:rPr>
        <w:t xml:space="preserve">azartspēļu nodokļa </w:t>
      </w:r>
      <w:r w:rsidR="00770EB2" w:rsidRPr="00BD1F90">
        <w:t xml:space="preserve">plānoti ļoti niecīgi – </w:t>
      </w:r>
      <w:r w:rsidRPr="00BD1F90">
        <w:t>2</w:t>
      </w:r>
      <w:r w:rsidR="00770EB2" w:rsidRPr="00BD1F90">
        <w:t>5 000 eiro kopējā ieņēmumu plānā</w:t>
      </w:r>
      <w:r w:rsidR="003B41D3" w:rsidRPr="00BD1F90">
        <w:t>, to īpatsvars nodokļu ieņēmumos ir tikai 0,</w:t>
      </w:r>
      <w:r w:rsidRPr="00BD1F90">
        <w:t>3</w:t>
      </w:r>
      <w:r w:rsidR="003B41D3" w:rsidRPr="00BD1F90">
        <w:t xml:space="preserve"> %.</w:t>
      </w:r>
      <w:r w:rsidR="00770EB2" w:rsidRPr="00BD1F90">
        <w:t xml:space="preserve"> </w:t>
      </w:r>
    </w:p>
    <w:p w14:paraId="7260F2E1" w14:textId="77777777" w:rsidR="0097381D" w:rsidRPr="00BD1F90" w:rsidRDefault="00770EB2" w:rsidP="0097381D">
      <w:pPr>
        <w:spacing w:line="360" w:lineRule="auto"/>
        <w:ind w:firstLine="426"/>
        <w:jc w:val="both"/>
      </w:pPr>
      <w:r w:rsidRPr="00BD1F90">
        <w:rPr>
          <w:b/>
          <w:bCs/>
        </w:rPr>
        <w:t>IIN ieņēmumus</w:t>
      </w:r>
      <w:r w:rsidRPr="00BD1F90">
        <w:t xml:space="preserve"> ietekmē pašvaldības teritorijā deklarēto iedzīvotāju skaits, darba samaksa, ar iedzīvotāju ienākuma nodokli neapliekamā minimuma un atvieglojumu apmērs, kā arī minimālā darba alga. Saskaņā ar likuma “Par valsts budžetu 2021. gada” Likuma 13. pantā </w:t>
      </w:r>
      <w:r w:rsidRPr="002A57F9">
        <w:t>noteikto IIN ieņēmumu sadalījums starp valsts budžetu un pašvaldību budžetiem ir šāds:</w:t>
      </w:r>
      <w:r w:rsidRPr="00BD1F90">
        <w:t xml:space="preserve"> pašvaldību budžetiem – 75 procentu apmērā un valsts budžetam – 25 procentu apmērā, savukārt minētā likuma 14. pants nosaka IIN prognozēto ieņēmumu procentuālo sadalījumu pa ceturkšņiem pašvaldībām: I ceturksnī – 22%, II ceturksnī – 24%, III ceturksnī – 26%, IV ceturksnī – 28%.</w:t>
      </w:r>
    </w:p>
    <w:p w14:paraId="0C5293EF" w14:textId="77777777" w:rsidR="0097381D" w:rsidRPr="008D3975" w:rsidRDefault="00770EB2" w:rsidP="0097381D">
      <w:pPr>
        <w:spacing w:line="360" w:lineRule="auto"/>
        <w:ind w:firstLine="426"/>
        <w:jc w:val="both"/>
      </w:pPr>
      <w:r w:rsidRPr="008D3975">
        <w:rPr>
          <w:b/>
          <w:bCs/>
        </w:rPr>
        <w:t xml:space="preserve">NĪN ieņēmumus </w:t>
      </w:r>
      <w:r w:rsidRPr="008D3975">
        <w:t>administrē pašvaldība</w:t>
      </w:r>
      <w:r w:rsidR="003465D1" w:rsidRPr="008D3975">
        <w:t>,</w:t>
      </w:r>
      <w:r w:rsidRPr="008D3975">
        <w:t xml:space="preserve"> un tos veido NĪN maksājumi par zemi, ēkām un mājokļiem. NĪN maksājumi par zemi tiek plānoti </w:t>
      </w:r>
      <w:r w:rsidR="00BD1F90" w:rsidRPr="008D3975">
        <w:t>2 212 565</w:t>
      </w:r>
      <w:r w:rsidRPr="008D3975">
        <w:t xml:space="preserve"> eiro apmērā, NĪN par ēkām – </w:t>
      </w:r>
      <w:r w:rsidR="00BD1F90" w:rsidRPr="008D3975">
        <w:t>682 494</w:t>
      </w:r>
      <w:r w:rsidRPr="008D3975">
        <w:t xml:space="preserve"> eiro un NĪN par mājokļiem – </w:t>
      </w:r>
      <w:r w:rsidR="00BD1F90" w:rsidRPr="008D3975">
        <w:t>550 146</w:t>
      </w:r>
      <w:r w:rsidRPr="008D3975">
        <w:t xml:space="preserve"> eiro.</w:t>
      </w:r>
    </w:p>
    <w:p w14:paraId="5701E468" w14:textId="77777777" w:rsidR="0097381D" w:rsidRPr="008D3975" w:rsidRDefault="00770EB2" w:rsidP="0097381D">
      <w:pPr>
        <w:spacing w:line="360" w:lineRule="auto"/>
        <w:ind w:firstLine="426"/>
        <w:jc w:val="both"/>
      </w:pPr>
      <w:r w:rsidRPr="008D3975">
        <w:rPr>
          <w:b/>
        </w:rPr>
        <w:lastRenderedPageBreak/>
        <w:t>Azartspēļu nodokļa ieņēmumi,</w:t>
      </w:r>
      <w:r w:rsidRPr="008D3975">
        <w:t xml:space="preserve"> kā minēts iepriekš, pašvaldības</w:t>
      </w:r>
      <w:r w:rsidR="00F93E89">
        <w:t xml:space="preserve"> </w:t>
      </w:r>
      <w:r w:rsidRPr="008D3975">
        <w:t>2021.</w:t>
      </w:r>
      <w:r w:rsidR="00F93E89">
        <w:t xml:space="preserve"> </w:t>
      </w:r>
      <w:r w:rsidRPr="008D3975">
        <w:t>gad</w:t>
      </w:r>
      <w:r w:rsidR="00F93E89">
        <w:t xml:space="preserve">a </w:t>
      </w:r>
      <w:r w:rsidR="00F93E89" w:rsidRPr="00F93E89">
        <w:t>budžetā</w:t>
      </w:r>
      <w:r w:rsidRPr="008D3975">
        <w:t xml:space="preserve"> </w:t>
      </w:r>
      <w:r w:rsidRPr="002A57F9">
        <w:t>plānot</w:t>
      </w:r>
      <w:r w:rsidR="00F93E89" w:rsidRPr="002A57F9">
        <w:t>i</w:t>
      </w:r>
      <w:r w:rsidRPr="002A57F9">
        <w:t xml:space="preserve"> ļoti niecīgā apmērā saistībā ar šī nodokļa ieņēmumu pārdali par labu valsts budžetam.</w:t>
      </w:r>
      <w:r w:rsidRPr="008D3975">
        <w:t xml:space="preserve"> </w:t>
      </w:r>
      <w:r w:rsidR="008D3975" w:rsidRPr="008D3975">
        <w:t>Š</w:t>
      </w:r>
      <w:r w:rsidRPr="008D3975">
        <w:t>ī gada budžeta ieņēmumos plānoti tika</w:t>
      </w:r>
      <w:r w:rsidR="00F93E89">
        <w:t>i</w:t>
      </w:r>
      <w:r w:rsidRPr="008D3975">
        <w:t xml:space="preserve"> </w:t>
      </w:r>
      <w:r w:rsidR="008D3975" w:rsidRPr="008D3975">
        <w:t>2</w:t>
      </w:r>
      <w:r w:rsidRPr="008D3975">
        <w:t>5 000 eiro no azartspēļu nodokļa ienākumiem par azartspēlēm, kas tiek organizētas pašvaldības teritorijā.</w:t>
      </w:r>
    </w:p>
    <w:p w14:paraId="7EA4468A" w14:textId="77777777" w:rsidR="0097381D" w:rsidRPr="008D3975" w:rsidRDefault="00770EB2" w:rsidP="0097381D">
      <w:pPr>
        <w:spacing w:line="360" w:lineRule="auto"/>
        <w:ind w:firstLine="426"/>
        <w:jc w:val="both"/>
        <w:rPr>
          <w:b/>
          <w:bCs/>
          <w:caps/>
        </w:rPr>
      </w:pPr>
      <w:r w:rsidRPr="008D3975">
        <w:t>Arī no</w:t>
      </w:r>
      <w:r w:rsidRPr="008D3975">
        <w:rPr>
          <w:b/>
        </w:rPr>
        <w:t xml:space="preserve"> dabas resursu nodokļa</w:t>
      </w:r>
      <w:r w:rsidRPr="008D3975">
        <w:t xml:space="preserve"> ieņēmumiem lielākā daļa papildina valsts budžetu, pašvaldību budžetos ieskaitot nelielas summas, Ogres novada pašvaldības budžeta ieņēmumos 2021. gada budžetā </w:t>
      </w:r>
      <w:r w:rsidR="008D3975" w:rsidRPr="008D3975">
        <w:t xml:space="preserve">tie </w:t>
      </w:r>
      <w:r w:rsidRPr="008D3975">
        <w:t xml:space="preserve">plānoti </w:t>
      </w:r>
      <w:r w:rsidR="008D3975" w:rsidRPr="008D3975">
        <w:t>109 650</w:t>
      </w:r>
      <w:r w:rsidRPr="008D3975">
        <w:t xml:space="preserve"> eiro apmērā.</w:t>
      </w:r>
    </w:p>
    <w:p w14:paraId="7F331763" w14:textId="77777777" w:rsidR="0097381D" w:rsidRPr="00A37767" w:rsidRDefault="00770EB2" w:rsidP="0097381D">
      <w:pPr>
        <w:spacing w:line="360" w:lineRule="auto"/>
        <w:ind w:firstLine="426"/>
        <w:jc w:val="both"/>
        <w:rPr>
          <w:highlight w:val="yellow"/>
        </w:rPr>
      </w:pPr>
      <w:r w:rsidRPr="008D3975">
        <w:rPr>
          <w:b/>
          <w:bCs/>
          <w:caps/>
        </w:rPr>
        <w:t xml:space="preserve">Nenodokļu </w:t>
      </w:r>
      <w:r w:rsidRPr="002A57F9">
        <w:rPr>
          <w:b/>
          <w:bCs/>
          <w:caps/>
        </w:rPr>
        <w:t>ieņēmumUS</w:t>
      </w:r>
      <w:r w:rsidRPr="002A57F9">
        <w:rPr>
          <w:b/>
          <w:bCs/>
        </w:rPr>
        <w:t xml:space="preserve"> </w:t>
      </w:r>
      <w:r w:rsidRPr="002A57F9">
        <w:rPr>
          <w:bCs/>
        </w:rPr>
        <w:t>p</w:t>
      </w:r>
      <w:r w:rsidRPr="002A57F9">
        <w:t>ašvaldības budžetā veido ieskaitītās</w:t>
      </w:r>
      <w:r w:rsidRPr="008D3975">
        <w:t xml:space="preserve"> valsts un pašvaldības nodevas, naudas sodi, ieņēmumi no pašvaldības īpašuma iznomāšanas un pārdošanas, kā arī citi maksājumi pašvaldības budžetā. 2021. gadā nenodokļu ieņēmumi plānoti </w:t>
      </w:r>
      <w:r w:rsidR="008D3975" w:rsidRPr="008D3975">
        <w:t>1 595 579</w:t>
      </w:r>
      <w:r w:rsidRPr="008D3975">
        <w:t xml:space="preserve"> eiro apjomā, t</w:t>
      </w:r>
      <w:r w:rsidRPr="000469C0">
        <w:t xml:space="preserve">.i., </w:t>
      </w:r>
      <w:r w:rsidR="008D3975" w:rsidRPr="000469C0">
        <w:t>2.0</w:t>
      </w:r>
      <w:r w:rsidRPr="000469C0">
        <w:t>% budžeta kopējo</w:t>
      </w:r>
      <w:r w:rsidR="000469C0" w:rsidRPr="000469C0">
        <w:t>s</w:t>
      </w:r>
      <w:r w:rsidRPr="000469C0">
        <w:t xml:space="preserve"> ieņēmumos</w:t>
      </w:r>
      <w:r w:rsidR="000469C0" w:rsidRPr="000469C0">
        <w:t>.</w:t>
      </w:r>
      <w:r w:rsidRPr="000469C0">
        <w:t xml:space="preserve"> </w:t>
      </w:r>
    </w:p>
    <w:p w14:paraId="66152986" w14:textId="77777777" w:rsidR="0097381D" w:rsidRPr="0053731F" w:rsidRDefault="00770EB2" w:rsidP="0097381D">
      <w:pPr>
        <w:spacing w:line="360" w:lineRule="auto"/>
        <w:ind w:firstLine="426"/>
        <w:jc w:val="both"/>
      </w:pPr>
      <w:r w:rsidRPr="00A65A93">
        <w:rPr>
          <w:b/>
          <w:caps/>
        </w:rPr>
        <w:t>Valsts budžeta transferti</w:t>
      </w:r>
      <w:r w:rsidRPr="00A65A93">
        <w:rPr>
          <w:b/>
        </w:rPr>
        <w:t xml:space="preserve"> </w:t>
      </w:r>
      <w:r w:rsidRPr="00A65A93">
        <w:t>ir ieņēmumi, ko pašvaldība saņem no valsts budžeta konkrēt</w:t>
      </w:r>
      <w:r w:rsidR="002872F7" w:rsidRPr="00A65A93">
        <w:t>ie</w:t>
      </w:r>
      <w:r w:rsidRPr="00A65A93">
        <w:t>m mērķi</w:t>
      </w:r>
      <w:r w:rsidR="002872F7" w:rsidRPr="00A65A93">
        <w:t>e</w:t>
      </w:r>
      <w:r w:rsidRPr="00A65A93">
        <w:t>m, un 2021. gada pašvaldības budžetā tie p</w:t>
      </w:r>
      <w:r w:rsidR="00A65A93" w:rsidRPr="00A65A93">
        <w:t>lāno</w:t>
      </w:r>
      <w:r w:rsidRPr="00A65A93">
        <w:t xml:space="preserve">ti </w:t>
      </w:r>
      <w:r w:rsidR="00A65A93" w:rsidRPr="00A65A93">
        <w:t>29 075 133</w:t>
      </w:r>
      <w:r w:rsidRPr="00A65A93">
        <w:t xml:space="preserve"> eiro </w:t>
      </w:r>
      <w:r w:rsidRPr="0053731F">
        <w:t>apjomā, kas ir 3</w:t>
      </w:r>
      <w:r w:rsidR="00A65A93" w:rsidRPr="0053731F">
        <w:t>5</w:t>
      </w:r>
      <w:r w:rsidRPr="0053731F">
        <w:t>,</w:t>
      </w:r>
      <w:r w:rsidR="00A65A93" w:rsidRPr="0053731F">
        <w:t>6</w:t>
      </w:r>
      <w:r w:rsidRPr="0053731F">
        <w:t xml:space="preserve">% kopējo ieņēmumu plānā. </w:t>
      </w:r>
    </w:p>
    <w:p w14:paraId="54E6DD8F" w14:textId="77777777" w:rsidR="0097381D" w:rsidRPr="00B4010D" w:rsidRDefault="00770EB2" w:rsidP="0097381D">
      <w:pPr>
        <w:spacing w:line="360" w:lineRule="auto"/>
        <w:ind w:firstLine="426"/>
        <w:jc w:val="both"/>
      </w:pPr>
      <w:r w:rsidRPr="00B4010D">
        <w:rPr>
          <w:b/>
          <w:caps/>
        </w:rPr>
        <w:t xml:space="preserve">Pašvaldību budžetu transfertos </w:t>
      </w:r>
      <w:r w:rsidRPr="00B4010D">
        <w:rPr>
          <w:caps/>
        </w:rPr>
        <w:t xml:space="preserve">2021. </w:t>
      </w:r>
      <w:r w:rsidRPr="00B4010D">
        <w:t xml:space="preserve">gada budžeta ieņēmumos plānots saņemt </w:t>
      </w:r>
      <w:r w:rsidR="00B4010D" w:rsidRPr="00B4010D">
        <w:t>1 422 287</w:t>
      </w:r>
      <w:r w:rsidRPr="00B4010D">
        <w:t xml:space="preserve"> eiro, kas kopējo ieņēmum</w:t>
      </w:r>
      <w:r w:rsidR="003465D1" w:rsidRPr="00B4010D">
        <w:t>u</w:t>
      </w:r>
      <w:r w:rsidRPr="00B4010D">
        <w:t xml:space="preserve"> apjomā veido 1,7 %</w:t>
      </w:r>
      <w:r w:rsidR="00B4010D" w:rsidRPr="00B4010D">
        <w:t xml:space="preserve">. </w:t>
      </w:r>
    </w:p>
    <w:p w14:paraId="37CE95A9" w14:textId="77777777" w:rsidR="00770EB2" w:rsidRPr="004B2370" w:rsidRDefault="00770EB2" w:rsidP="0097381D">
      <w:pPr>
        <w:spacing w:line="360" w:lineRule="auto"/>
        <w:ind w:firstLine="426"/>
        <w:jc w:val="both"/>
      </w:pPr>
      <w:r w:rsidRPr="004B2370">
        <w:t>Šos ieņēmumus veido citu pašvaldību maksājumi par Ogres novada pašvaldības iestāžu sniegtajiem pakalpojumiem citās pašvaldībās deklarētajiem iedzīvotājiem – par uzturēšanos vispārējā tipa pansionātā “Madliena”</w:t>
      </w:r>
      <w:r w:rsidR="009742D8" w:rsidRPr="004B2370">
        <w:t>, sociālās aprūpes centrā “Senliepas”</w:t>
      </w:r>
      <w:r w:rsidRPr="004B2370">
        <w:t xml:space="preserve"> un izglītības pakalpojumiem novada izglītības iestādēs. </w:t>
      </w:r>
    </w:p>
    <w:p w14:paraId="0B503EA7" w14:textId="77777777" w:rsidR="0097381D" w:rsidRDefault="0081364E" w:rsidP="0097381D">
      <w:pPr>
        <w:spacing w:line="360" w:lineRule="auto"/>
        <w:ind w:firstLine="426"/>
        <w:jc w:val="both"/>
      </w:pPr>
      <w:r w:rsidRPr="004B2370">
        <w:rPr>
          <w:b/>
          <w:caps/>
        </w:rPr>
        <w:t xml:space="preserve">Budžeta iestāžu ieņēmumi </w:t>
      </w:r>
      <w:r w:rsidRPr="004B2370">
        <w:t>2021. gadā</w:t>
      </w:r>
      <w:r w:rsidRPr="004B2370">
        <w:rPr>
          <w:b/>
          <w:caps/>
        </w:rPr>
        <w:t xml:space="preserve"> </w:t>
      </w:r>
      <w:r w:rsidRPr="004B2370">
        <w:t xml:space="preserve">plānoti </w:t>
      </w:r>
      <w:r w:rsidR="004B2370" w:rsidRPr="004B2370">
        <w:rPr>
          <w:b/>
        </w:rPr>
        <w:t>4 988 001</w:t>
      </w:r>
      <w:r w:rsidRPr="004B2370">
        <w:rPr>
          <w:b/>
        </w:rPr>
        <w:t xml:space="preserve"> eiro</w:t>
      </w:r>
      <w:r w:rsidRPr="004B2370">
        <w:t xml:space="preserve"> apmērā, to īpatsvars kopējos ieņēmumos ir </w:t>
      </w:r>
      <w:r w:rsidR="004B2370" w:rsidRPr="004B2370">
        <w:t>6</w:t>
      </w:r>
      <w:r w:rsidRPr="004B2370">
        <w:t>,</w:t>
      </w:r>
      <w:r w:rsidR="004B2370" w:rsidRPr="004B2370">
        <w:t>1</w:t>
      </w:r>
      <w:r w:rsidRPr="004B2370">
        <w:t xml:space="preserve"> %</w:t>
      </w:r>
      <w:r w:rsidR="00915E00">
        <w:t>, tos veido ieņēmumi par budžetiestāžu sniegtajiem maksas pakalpojumiem.</w:t>
      </w:r>
    </w:p>
    <w:p w14:paraId="2080405F" w14:textId="77777777" w:rsidR="00005B53" w:rsidRDefault="00005B53" w:rsidP="00176BBE">
      <w:pPr>
        <w:ind w:firstLine="426"/>
        <w:jc w:val="center"/>
        <w:rPr>
          <w:b/>
          <w:bCs/>
          <w:caps/>
        </w:rPr>
      </w:pPr>
    </w:p>
    <w:p w14:paraId="73323CB9" w14:textId="77777777" w:rsidR="00F1060E" w:rsidRPr="00915E00" w:rsidRDefault="00F1060E" w:rsidP="00176BBE">
      <w:pPr>
        <w:ind w:firstLine="426"/>
        <w:jc w:val="center"/>
        <w:rPr>
          <w:b/>
          <w:bCs/>
          <w:caps/>
        </w:rPr>
      </w:pPr>
      <w:r w:rsidRPr="00915E00">
        <w:rPr>
          <w:b/>
          <w:bCs/>
          <w:caps/>
        </w:rPr>
        <w:lastRenderedPageBreak/>
        <w:t>Ogres novada pašvaldības budžeta izdevumi</w:t>
      </w:r>
    </w:p>
    <w:p w14:paraId="69507898" w14:textId="77777777" w:rsidR="00F1060E" w:rsidRPr="00A37767" w:rsidRDefault="00F1060E" w:rsidP="00F1060E">
      <w:pPr>
        <w:spacing w:line="360" w:lineRule="auto"/>
        <w:jc w:val="both"/>
        <w:rPr>
          <w:caps/>
          <w:highlight w:val="yellow"/>
        </w:rPr>
      </w:pPr>
    </w:p>
    <w:p w14:paraId="4F2F54EE" w14:textId="29B54655" w:rsidR="00F1060E" w:rsidRDefault="00F1060E" w:rsidP="00005B53">
      <w:pPr>
        <w:spacing w:line="360" w:lineRule="auto"/>
        <w:ind w:firstLine="426"/>
        <w:jc w:val="both"/>
      </w:pPr>
      <w:r w:rsidRPr="00104ECB">
        <w:t xml:space="preserve">Ogres novada pašvaldības 2021. gada pamatbudžeta izdevumi </w:t>
      </w:r>
      <w:r w:rsidR="004B2370" w:rsidRPr="00104ECB">
        <w:t xml:space="preserve">pēc ATR </w:t>
      </w:r>
      <w:r w:rsidRPr="00104ECB">
        <w:t xml:space="preserve">plānoti </w:t>
      </w:r>
      <w:r w:rsidR="00915E00" w:rsidRPr="00104ECB">
        <w:rPr>
          <w:b/>
        </w:rPr>
        <w:t>112 439 211</w:t>
      </w:r>
      <w:r w:rsidRPr="00104ECB">
        <w:t xml:space="preserve"> </w:t>
      </w:r>
      <w:r w:rsidRPr="00104ECB">
        <w:rPr>
          <w:b/>
        </w:rPr>
        <w:t>eiro apjomā</w:t>
      </w:r>
      <w:r w:rsidR="00104ECB" w:rsidRPr="00104ECB">
        <w:rPr>
          <w:b/>
        </w:rPr>
        <w:t xml:space="preserve">. </w:t>
      </w:r>
    </w:p>
    <w:p w14:paraId="7A8B4BFA" w14:textId="77777777" w:rsidR="00A843D1" w:rsidRDefault="00A843D1" w:rsidP="00A843D1">
      <w:pPr>
        <w:spacing w:line="360" w:lineRule="auto"/>
        <w:jc w:val="both"/>
        <w:rPr>
          <w:bCs/>
          <w:highlight w:val="yellow"/>
        </w:rPr>
      </w:pPr>
      <w:r>
        <w:rPr>
          <w:noProof/>
        </w:rPr>
        <w:drawing>
          <wp:inline distT="0" distB="0" distL="0" distR="0" wp14:anchorId="30958E16" wp14:editId="74789D7B">
            <wp:extent cx="5890846" cy="4721469"/>
            <wp:effectExtent l="0" t="0" r="15240" b="3175"/>
            <wp:docPr id="3" name="Diagramma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66BE59D-8AC3-4409-B471-1D18EA432F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EE9C52" w14:textId="4E14AA92" w:rsidR="00383DEF" w:rsidRPr="0052260D" w:rsidRDefault="00383DEF" w:rsidP="0052260D">
      <w:pPr>
        <w:pStyle w:val="Sarakstarindkopa"/>
        <w:numPr>
          <w:ilvl w:val="0"/>
          <w:numId w:val="6"/>
        </w:numPr>
        <w:spacing w:line="360" w:lineRule="auto"/>
        <w:jc w:val="both"/>
        <w:rPr>
          <w:i/>
          <w:iCs/>
        </w:rPr>
      </w:pPr>
      <w:r w:rsidRPr="0052260D">
        <w:rPr>
          <w:bCs/>
          <w:i/>
          <w:iCs/>
        </w:rPr>
        <w:t xml:space="preserve">att. </w:t>
      </w:r>
      <w:r w:rsidRPr="0052260D">
        <w:rPr>
          <w:i/>
          <w:iCs/>
        </w:rPr>
        <w:t>Ogres novada pašvaldības budžeta izdevumu struktūra sadalījumā pa funkcionālajām kategorijām (%)</w:t>
      </w:r>
    </w:p>
    <w:p w14:paraId="04F88BB7" w14:textId="77777777" w:rsidR="0052260D" w:rsidRPr="0052260D" w:rsidRDefault="0052260D" w:rsidP="0052260D">
      <w:pPr>
        <w:spacing w:line="360" w:lineRule="auto"/>
        <w:ind w:left="360"/>
        <w:jc w:val="both"/>
        <w:rPr>
          <w:caps/>
        </w:rPr>
      </w:pPr>
    </w:p>
    <w:p w14:paraId="5DBFA5AA" w14:textId="77777777" w:rsidR="0052260D" w:rsidRDefault="0052260D" w:rsidP="0052260D">
      <w:pPr>
        <w:spacing w:line="360" w:lineRule="auto"/>
        <w:ind w:firstLine="426"/>
        <w:jc w:val="both"/>
      </w:pPr>
      <w:r w:rsidRPr="00104ECB">
        <w:t>Izdevumu</w:t>
      </w:r>
      <w:r w:rsidRPr="00BD1F90">
        <w:t xml:space="preserve"> palielinājumu </w:t>
      </w:r>
      <w:r>
        <w:t xml:space="preserve">819 514 eiro pamatā </w:t>
      </w:r>
      <w:r w:rsidRPr="00BD1F90">
        <w:t>veido</w:t>
      </w:r>
      <w:r>
        <w:t xml:space="preserve"> </w:t>
      </w:r>
      <w:r w:rsidRPr="00BD1F90">
        <w:t xml:space="preserve">finansējums diviem </w:t>
      </w:r>
      <w:r w:rsidRPr="002A57F9">
        <w:t xml:space="preserve">augstas gatavības projektiem “Inženierbūves atjaunošana” Zvaigžņu iela 11, Ogrē, un “Esošās ēkas rekonstrukcija – Taurupes muižas klēts pārbūve” un valsts programmas “Atbalsts bērnu un jauniešu nometņu organizēšanai” realizācijai 757 047 eiro apmērā, kā arī saskaņā ar 29.07.2021. domes lēmumu </w:t>
      </w:r>
      <w:r w:rsidRPr="002A57F9">
        <w:lastRenderedPageBreak/>
        <w:t>“Par sabiedrības vajadzībām nepieciešamā nekustamā īpašuma</w:t>
      </w:r>
      <w:r w:rsidRPr="00EA3CCB">
        <w:t xml:space="preserve"> Rīgas iela 15, Ogre, Ogres nov., atlīdzības apmēra apstiprināšanu un atsavināšanu</w:t>
      </w:r>
      <w:r>
        <w:t xml:space="preserve">” paredzētajiem izdevumiem </w:t>
      </w:r>
      <w:r w:rsidRPr="00EA3CCB">
        <w:t>īpašuma Rīgas iela 15</w:t>
      </w:r>
      <w:r>
        <w:t xml:space="preserve"> iegādei.</w:t>
      </w:r>
    </w:p>
    <w:p w14:paraId="4F7D8AFA" w14:textId="2216BE20" w:rsidR="00BD6430" w:rsidRDefault="00F1060E" w:rsidP="0097381D">
      <w:pPr>
        <w:spacing w:line="360" w:lineRule="auto"/>
        <w:ind w:firstLine="426"/>
        <w:jc w:val="both"/>
      </w:pPr>
      <w:r w:rsidRPr="00A843D1">
        <w:rPr>
          <w:b/>
        </w:rPr>
        <w:t>I</w:t>
      </w:r>
      <w:r w:rsidRPr="00A843D1">
        <w:rPr>
          <w:b/>
          <w:bCs/>
        </w:rPr>
        <w:t xml:space="preserve">zglītībai </w:t>
      </w:r>
      <w:r w:rsidRPr="00A843D1">
        <w:rPr>
          <w:bCs/>
        </w:rPr>
        <w:t xml:space="preserve">paredzēts finansējums </w:t>
      </w:r>
      <w:r w:rsidR="00A843D1" w:rsidRPr="00A843D1">
        <w:t>48 504 414</w:t>
      </w:r>
      <w:r w:rsidRPr="00A843D1">
        <w:t xml:space="preserve"> eiro</w:t>
      </w:r>
      <w:r w:rsidR="003813F9" w:rsidRPr="00A843D1">
        <w:t>, kas veido</w:t>
      </w:r>
      <w:r w:rsidRPr="00A843D1">
        <w:t xml:space="preserve"> 4</w:t>
      </w:r>
      <w:r w:rsidR="00A843D1" w:rsidRPr="00A843D1">
        <w:t>3</w:t>
      </w:r>
      <w:r w:rsidRPr="00A843D1">
        <w:t>,</w:t>
      </w:r>
      <w:r w:rsidR="00A843D1" w:rsidRPr="00A843D1">
        <w:t>1</w:t>
      </w:r>
      <w:r w:rsidRPr="00A843D1">
        <w:t>%</w:t>
      </w:r>
      <w:r w:rsidR="003813F9" w:rsidRPr="00A843D1">
        <w:t xml:space="preserve"> kopējos izdevumos</w:t>
      </w:r>
      <w:r w:rsidRPr="00A843D1">
        <w:t xml:space="preserve">; </w:t>
      </w:r>
      <w:r w:rsidRPr="00A843D1">
        <w:rPr>
          <w:b/>
          <w:bCs/>
        </w:rPr>
        <w:t>ekonomiskajai darbībai</w:t>
      </w:r>
      <w:r w:rsidRPr="00A843D1">
        <w:t xml:space="preserve"> budžeta izdevumos ieplānoti 1</w:t>
      </w:r>
      <w:r w:rsidR="00A843D1">
        <w:t>6 658 954</w:t>
      </w:r>
      <w:r w:rsidRPr="00A843D1">
        <w:t xml:space="preserve"> eiro, šo izdevumu īpatsvars kopējos izdevumos ir </w:t>
      </w:r>
      <w:r w:rsidR="000A0E5A" w:rsidRPr="00A843D1">
        <w:t>1</w:t>
      </w:r>
      <w:r w:rsidR="00A843D1">
        <w:t>4,8</w:t>
      </w:r>
      <w:r w:rsidRPr="00A843D1">
        <w:t>%</w:t>
      </w:r>
      <w:r w:rsidR="0052260D">
        <w:t>.</w:t>
      </w:r>
      <w:r w:rsidR="007F56BC">
        <w:t xml:space="preserve"> Jaunizveidotajā novadā darbojas </w:t>
      </w:r>
      <w:r w:rsidR="00557DC4">
        <w:t>1</w:t>
      </w:r>
      <w:r w:rsidR="002D1FE9">
        <w:t>3</w:t>
      </w:r>
      <w:r w:rsidR="007F56BC">
        <w:t xml:space="preserve"> pirmsskolas izglītības iestādes, </w:t>
      </w:r>
      <w:r w:rsidR="00557DC4">
        <w:t>2 sākumskolas, 8</w:t>
      </w:r>
      <w:r w:rsidR="007F56BC">
        <w:t xml:space="preserve"> vispārējās pamatizglītības iestādes un </w:t>
      </w:r>
      <w:r w:rsidR="00557DC4">
        <w:t xml:space="preserve">8 </w:t>
      </w:r>
      <w:r w:rsidR="007F56BC">
        <w:t xml:space="preserve">vidējās izglītības iestādes, </w:t>
      </w:r>
      <w:r w:rsidR="00557DC4">
        <w:t>9</w:t>
      </w:r>
      <w:r w:rsidR="007F56BC">
        <w:t xml:space="preserve"> profesionālās ievirzes izglītības iestādes un vienota izglītības pārvalde.</w:t>
      </w:r>
      <w:r w:rsidRPr="00A843D1">
        <w:t xml:space="preserve"> </w:t>
      </w:r>
      <w:r w:rsidR="007F56BC">
        <w:t>Ogres novada vispārējās izglītības iestāžu tīklā 2021.gadā izmaiņas nav notikušas, darbu turpina visas pašvaldības dibinātās izglītības iestādes. Ir pieņemts domes lēmums par Ikšķiles Sporta skolas</w:t>
      </w:r>
      <w:r w:rsidR="0093117C">
        <w:t xml:space="preserve"> likvidāciju un šīs skolas programmu pievienošanu Ogres novada Sporta centram un Ogres Basketbola skolai.</w:t>
      </w:r>
      <w:r w:rsidR="007F56BC">
        <w:t xml:space="preserve"> </w:t>
      </w:r>
    </w:p>
    <w:p w14:paraId="04307E84" w14:textId="77777777" w:rsidR="00BD6430" w:rsidRDefault="0093117C" w:rsidP="0097381D">
      <w:pPr>
        <w:spacing w:line="360" w:lineRule="auto"/>
        <w:ind w:firstLine="426"/>
        <w:jc w:val="both"/>
      </w:pPr>
      <w:r>
        <w:rPr>
          <w:b/>
          <w:bCs/>
        </w:rPr>
        <w:t>P</w:t>
      </w:r>
      <w:r w:rsidR="00F1060E" w:rsidRPr="00A843D1">
        <w:rPr>
          <w:b/>
          <w:bCs/>
        </w:rPr>
        <w:t>ašvaldības teritorijas un mājokļu apsaimniekošanai</w:t>
      </w:r>
      <w:r w:rsidR="00F1060E" w:rsidRPr="00A843D1">
        <w:t xml:space="preserve"> paredzēts finansējums </w:t>
      </w:r>
      <w:r w:rsidR="00A843D1" w:rsidRPr="00A843D1">
        <w:t>13 609 323</w:t>
      </w:r>
      <w:r w:rsidR="00F1060E" w:rsidRPr="00A843D1">
        <w:t xml:space="preserve"> eiro apjomā, kas kopējos izdevumos ir </w:t>
      </w:r>
      <w:r w:rsidR="00A843D1" w:rsidRPr="00A843D1">
        <w:t>12</w:t>
      </w:r>
      <w:r w:rsidR="00F1060E" w:rsidRPr="00A843D1">
        <w:t>,</w:t>
      </w:r>
      <w:r w:rsidR="00A843D1" w:rsidRPr="00A843D1">
        <w:t>1</w:t>
      </w:r>
      <w:r w:rsidR="00F1060E" w:rsidRPr="00A843D1">
        <w:t>%</w:t>
      </w:r>
      <w:r>
        <w:t xml:space="preserve"> (šajos izdevumos ietilpst arī nekustamā īpašuma Rīgas ielā 15, Ogrē, atsavināšanai sabiedrības vajadzībām un augstas gatavības projekta “</w:t>
      </w:r>
      <w:r w:rsidRPr="0093117C">
        <w:t>Inženierbūves atjaunošana</w:t>
      </w:r>
      <w:r>
        <w:t>”</w:t>
      </w:r>
      <w:r w:rsidRPr="0093117C">
        <w:t xml:space="preserve"> Zvaigžņu iela 11,</w:t>
      </w:r>
      <w:r>
        <w:t xml:space="preserve"> </w:t>
      </w:r>
      <w:r w:rsidRPr="0093117C">
        <w:t>Ogrē</w:t>
      </w:r>
      <w:r>
        <w:t>,</w:t>
      </w:r>
      <w:r w:rsidRPr="00A843D1">
        <w:t xml:space="preserve"> </w:t>
      </w:r>
      <w:r>
        <w:t>realizācijas uzsākšanai).</w:t>
      </w:r>
      <w:r w:rsidR="00F1060E" w:rsidRPr="00A843D1">
        <w:t xml:space="preserve"> </w:t>
      </w:r>
    </w:p>
    <w:p w14:paraId="6DAF326D" w14:textId="77777777" w:rsidR="00BD6430" w:rsidRDefault="0093117C" w:rsidP="0097381D">
      <w:pPr>
        <w:spacing w:line="360" w:lineRule="auto"/>
        <w:ind w:firstLine="426"/>
        <w:jc w:val="both"/>
      </w:pPr>
      <w:r>
        <w:rPr>
          <w:b/>
          <w:bCs/>
        </w:rPr>
        <w:t>V</w:t>
      </w:r>
      <w:r w:rsidR="00F1060E" w:rsidRPr="00A843D1">
        <w:rPr>
          <w:b/>
          <w:bCs/>
        </w:rPr>
        <w:t xml:space="preserve">ides aizsardzībai </w:t>
      </w:r>
      <w:r w:rsidR="00F1060E" w:rsidRPr="00A843D1">
        <w:t>ieplānots 6</w:t>
      </w:r>
      <w:r w:rsidR="00A843D1" w:rsidRPr="00A843D1">
        <w:t> 930 173</w:t>
      </w:r>
      <w:r w:rsidR="00F1060E" w:rsidRPr="00A843D1">
        <w:t xml:space="preserve"> eiro liels finansējums – budžeta izdevumu struktūrā tie ir </w:t>
      </w:r>
      <w:r w:rsidR="00A843D1" w:rsidRPr="00A843D1">
        <w:t>6</w:t>
      </w:r>
      <w:r w:rsidR="00F1060E" w:rsidRPr="00A843D1">
        <w:t>,</w:t>
      </w:r>
      <w:r w:rsidR="00A843D1" w:rsidRPr="00A843D1">
        <w:t>2</w:t>
      </w:r>
      <w:r w:rsidR="00F1060E" w:rsidRPr="00A843D1">
        <w:t>%</w:t>
      </w:r>
      <w:r w:rsidR="00BD6430">
        <w:t>.</w:t>
      </w:r>
      <w:r w:rsidR="00F1060E" w:rsidRPr="00A843D1">
        <w:t xml:space="preserve"> </w:t>
      </w:r>
    </w:p>
    <w:p w14:paraId="7C59C584" w14:textId="77777777" w:rsidR="00381740" w:rsidRDefault="00BD6430" w:rsidP="0097381D">
      <w:pPr>
        <w:spacing w:line="360" w:lineRule="auto"/>
        <w:ind w:firstLine="426"/>
        <w:jc w:val="both"/>
      </w:pPr>
      <w:r>
        <w:t>K</w:t>
      </w:r>
      <w:r w:rsidR="00F1060E" w:rsidRPr="00A843D1">
        <w:t xml:space="preserve">ategorijā </w:t>
      </w:r>
      <w:r w:rsidR="00F1060E" w:rsidRPr="00A843D1">
        <w:rPr>
          <w:b/>
          <w:bCs/>
        </w:rPr>
        <w:t>“Vispārējie valdības dienesti”</w:t>
      </w:r>
      <w:r w:rsidR="00F1060E" w:rsidRPr="00A843D1">
        <w:t xml:space="preserve"> plānotā finansējuma apjoms ir </w:t>
      </w:r>
      <w:r w:rsidR="00A843D1" w:rsidRPr="00A843D1">
        <w:t>8</w:t>
      </w:r>
      <w:r w:rsidR="00F1060E" w:rsidRPr="00A843D1">
        <w:t> </w:t>
      </w:r>
      <w:r w:rsidR="00A843D1" w:rsidRPr="00A843D1">
        <w:t>537</w:t>
      </w:r>
      <w:r w:rsidR="00F1060E" w:rsidRPr="00A843D1">
        <w:t> </w:t>
      </w:r>
      <w:r w:rsidR="00A843D1" w:rsidRPr="00A843D1">
        <w:t>22</w:t>
      </w:r>
      <w:r w:rsidR="00F1060E" w:rsidRPr="00A843D1">
        <w:t>7 eiro jeb 7,</w:t>
      </w:r>
      <w:r w:rsidR="00A843D1" w:rsidRPr="00A843D1">
        <w:t>6</w:t>
      </w:r>
      <w:r w:rsidR="00F1060E" w:rsidRPr="00A843D1">
        <w:t>% izdevumu kopējā apjomā</w:t>
      </w:r>
      <w:r>
        <w:t xml:space="preserve"> (izdevumi plānoti, ņemot vērā strukturālās izmaiņas saistībā ar ATR, vienā pašvaldībā apvienojoties</w:t>
      </w:r>
      <w:r w:rsidR="00381740">
        <w:t xml:space="preserve"> līdzšinējo četru novadu pašvaldībām</w:t>
      </w:r>
      <w:r>
        <w:t>).</w:t>
      </w:r>
      <w:r w:rsidR="00F1060E" w:rsidRPr="00A843D1">
        <w:t xml:space="preserve"> </w:t>
      </w:r>
    </w:p>
    <w:p w14:paraId="3619D68E" w14:textId="77777777" w:rsidR="00381740" w:rsidRDefault="00381740" w:rsidP="0097381D">
      <w:pPr>
        <w:spacing w:line="360" w:lineRule="auto"/>
        <w:ind w:firstLine="426"/>
        <w:jc w:val="both"/>
      </w:pPr>
      <w:r>
        <w:t>Izdevumu funkcionālajā k</w:t>
      </w:r>
      <w:r w:rsidR="00F1060E" w:rsidRPr="00A843D1">
        <w:t xml:space="preserve">ategorijā </w:t>
      </w:r>
      <w:r w:rsidR="00F1060E" w:rsidRPr="00A843D1">
        <w:rPr>
          <w:b/>
        </w:rPr>
        <w:t>“Atpūta, kultūra un reliģija”</w:t>
      </w:r>
      <w:r w:rsidR="00F1060E" w:rsidRPr="00A843D1">
        <w:t xml:space="preserve"> ieplānoti </w:t>
      </w:r>
      <w:r w:rsidR="00A843D1" w:rsidRPr="00A843D1">
        <w:t>7 910 084</w:t>
      </w:r>
      <w:r w:rsidR="00F1060E" w:rsidRPr="00A843D1">
        <w:t xml:space="preserve"> eiro</w:t>
      </w:r>
      <w:r w:rsidR="00BD6430">
        <w:t xml:space="preserve"> (t.sk. papildu finansējums Ogres centrālās bibliotēkas uzturēšanai 20 000 eiro un augstas gatavības projekta “</w:t>
      </w:r>
      <w:r w:rsidR="00BD6430" w:rsidRPr="00BD6430">
        <w:t>Esošās ēkas rekonstrukcija Taurupes muižas klēts pārbūve</w:t>
      </w:r>
      <w:r w:rsidR="00BD6430">
        <w:t xml:space="preserve">” </w:t>
      </w:r>
      <w:r w:rsidR="00BD6430" w:rsidRPr="00BD6430">
        <w:t>382</w:t>
      </w:r>
      <w:r w:rsidR="00BD6430">
        <w:t> </w:t>
      </w:r>
      <w:r w:rsidR="00BD6430" w:rsidRPr="00BD6430">
        <w:t>500</w:t>
      </w:r>
      <w:r w:rsidR="00BD6430">
        <w:t xml:space="preserve"> eiro realizācijas uzsākšanai)</w:t>
      </w:r>
      <w:r w:rsidR="00F1060E" w:rsidRPr="00A843D1">
        <w:t xml:space="preserve">, kas izdevumu kopapjomā ir </w:t>
      </w:r>
      <w:r w:rsidR="00A843D1" w:rsidRPr="00A843D1">
        <w:t>7</w:t>
      </w:r>
      <w:r w:rsidR="00F1060E" w:rsidRPr="00A843D1">
        <w:t>,</w:t>
      </w:r>
      <w:r w:rsidR="00A843D1" w:rsidRPr="00A843D1">
        <w:t>0</w:t>
      </w:r>
      <w:r w:rsidR="00F1060E" w:rsidRPr="00A843D1">
        <w:t>%</w:t>
      </w:r>
      <w:r w:rsidR="00BD6430">
        <w:t>.</w:t>
      </w:r>
      <w:r w:rsidR="00F1060E" w:rsidRPr="00A843D1">
        <w:t xml:space="preserve"> </w:t>
      </w:r>
    </w:p>
    <w:p w14:paraId="78EFE235" w14:textId="1AFB4F31" w:rsidR="00F1060E" w:rsidRDefault="00BD6430" w:rsidP="0097381D">
      <w:pPr>
        <w:spacing w:line="360" w:lineRule="auto"/>
        <w:ind w:firstLine="426"/>
        <w:jc w:val="both"/>
      </w:pPr>
      <w:r>
        <w:rPr>
          <w:b/>
        </w:rPr>
        <w:lastRenderedPageBreak/>
        <w:t>S</w:t>
      </w:r>
      <w:r w:rsidR="00F1060E" w:rsidRPr="00A843D1">
        <w:rPr>
          <w:b/>
        </w:rPr>
        <w:t xml:space="preserve">ociālajai aizsardzībai </w:t>
      </w:r>
      <w:r w:rsidR="00F1060E" w:rsidRPr="00A843D1">
        <w:t xml:space="preserve">paredzēto finanšu līdzekļu </w:t>
      </w:r>
      <w:r w:rsidR="00993D34">
        <w:t>8 134 955</w:t>
      </w:r>
      <w:r w:rsidR="00F1060E" w:rsidRPr="00A843D1">
        <w:t xml:space="preserve"> eiro apmērā īpatsvars izdevumos ir 7,</w:t>
      </w:r>
      <w:r w:rsidR="00993D34">
        <w:t>2</w:t>
      </w:r>
      <w:r w:rsidR="00F1060E" w:rsidRPr="00A843D1">
        <w:t xml:space="preserve">%; </w:t>
      </w:r>
      <w:r w:rsidR="00F1060E" w:rsidRPr="00993D34">
        <w:rPr>
          <w:b/>
        </w:rPr>
        <w:t>sabiedriskajai kārtībai un drošībai</w:t>
      </w:r>
      <w:r w:rsidR="00F1060E" w:rsidRPr="00993D34">
        <w:t xml:space="preserve"> ieplānoti </w:t>
      </w:r>
      <w:r w:rsidR="00993D34" w:rsidRPr="00993D34">
        <w:t>1 433 913</w:t>
      </w:r>
      <w:r w:rsidR="00F1060E" w:rsidRPr="00993D34">
        <w:t xml:space="preserve"> eiro jeb 1,</w:t>
      </w:r>
      <w:r w:rsidR="00993D34" w:rsidRPr="00993D34">
        <w:t>3</w:t>
      </w:r>
      <w:r w:rsidR="00F1060E" w:rsidRPr="00993D34">
        <w:t xml:space="preserve">% izdevumu kopapjomā; </w:t>
      </w:r>
      <w:r w:rsidR="00F1060E" w:rsidRPr="00993D34">
        <w:rPr>
          <w:b/>
        </w:rPr>
        <w:t xml:space="preserve">veselībai </w:t>
      </w:r>
      <w:r w:rsidR="00F1060E" w:rsidRPr="00993D34">
        <w:t xml:space="preserve">budžeta izdevumos piešķirti </w:t>
      </w:r>
      <w:r w:rsidR="00993D34">
        <w:t>720 168</w:t>
      </w:r>
      <w:r w:rsidR="00F1060E" w:rsidRPr="00993D34">
        <w:t xml:space="preserve"> eiro, kas kopējā izdevumu struktūrā veido 0</w:t>
      </w:r>
      <w:r w:rsidR="00993D34">
        <w:t>,6</w:t>
      </w:r>
      <w:r w:rsidR="00F1060E" w:rsidRPr="00993D34">
        <w:t>%.</w:t>
      </w:r>
    </w:p>
    <w:p w14:paraId="25C60517" w14:textId="77777777" w:rsidR="00987719" w:rsidRPr="00993D34" w:rsidRDefault="00987719" w:rsidP="0097381D">
      <w:pPr>
        <w:spacing w:line="360" w:lineRule="auto"/>
        <w:ind w:firstLine="426"/>
        <w:jc w:val="both"/>
      </w:pPr>
    </w:p>
    <w:p w14:paraId="38BE0452" w14:textId="77777777" w:rsidR="00F629D5" w:rsidRDefault="00F85413" w:rsidP="00F629D5">
      <w:pPr>
        <w:spacing w:line="360" w:lineRule="auto"/>
        <w:jc w:val="both"/>
        <w:rPr>
          <w:b/>
          <w:caps/>
          <w:highlight w:val="yellow"/>
        </w:rPr>
      </w:pPr>
      <w:r>
        <w:rPr>
          <w:noProof/>
        </w:rPr>
        <w:drawing>
          <wp:inline distT="0" distB="0" distL="0" distR="0" wp14:anchorId="523E806D" wp14:editId="42D1C278">
            <wp:extent cx="5760085" cy="4932484"/>
            <wp:effectExtent l="0" t="0" r="12065" b="1905"/>
            <wp:docPr id="4" name="Diagramma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C9FE80-E6CC-4273-99EB-FFE61A8FA2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B883C5" w14:textId="77777777" w:rsidR="00F85413" w:rsidRPr="00A37767" w:rsidRDefault="00F85413" w:rsidP="00F629D5">
      <w:pPr>
        <w:spacing w:line="360" w:lineRule="auto"/>
        <w:jc w:val="both"/>
        <w:rPr>
          <w:b/>
          <w:caps/>
          <w:highlight w:val="yellow"/>
        </w:rPr>
      </w:pPr>
      <w:r>
        <w:rPr>
          <w:bCs/>
        </w:rPr>
        <w:t>3</w:t>
      </w:r>
      <w:r w:rsidRPr="00383DEF">
        <w:rPr>
          <w:bCs/>
        </w:rPr>
        <w:t>. att</w:t>
      </w:r>
      <w:r>
        <w:rPr>
          <w:bCs/>
        </w:rPr>
        <w:t xml:space="preserve">. </w:t>
      </w:r>
      <w:r>
        <w:t>Ogres novada pašvaldības budžeta izdevumu struktūra sadalījumā pa ekonomiskajām kategorijām</w:t>
      </w:r>
    </w:p>
    <w:p w14:paraId="19F0DA56" w14:textId="77777777" w:rsidR="00987719" w:rsidRDefault="00987719" w:rsidP="00176BBE">
      <w:pPr>
        <w:spacing w:line="360" w:lineRule="auto"/>
        <w:jc w:val="center"/>
        <w:rPr>
          <w:b/>
        </w:rPr>
      </w:pPr>
    </w:p>
    <w:p w14:paraId="47F4D3F5" w14:textId="77777777" w:rsidR="00176BBE" w:rsidRPr="00987719" w:rsidRDefault="00176BBE" w:rsidP="00176BBE">
      <w:pPr>
        <w:spacing w:line="360" w:lineRule="auto"/>
        <w:jc w:val="center"/>
        <w:rPr>
          <w:b/>
        </w:rPr>
      </w:pPr>
      <w:r w:rsidRPr="002A57F9">
        <w:rPr>
          <w:b/>
        </w:rPr>
        <w:t>PAŠVALDĪBAS</w:t>
      </w:r>
      <w:r w:rsidRPr="00987719">
        <w:rPr>
          <w:b/>
        </w:rPr>
        <w:t xml:space="preserve"> AIZŅĒMUMI UN GALVOJUMI</w:t>
      </w:r>
    </w:p>
    <w:p w14:paraId="1674391F" w14:textId="77777777" w:rsidR="009D5899" w:rsidRPr="00D26D05" w:rsidRDefault="009D5899" w:rsidP="009D5899">
      <w:pPr>
        <w:spacing w:line="360" w:lineRule="auto"/>
        <w:ind w:firstLine="426"/>
        <w:jc w:val="both"/>
      </w:pPr>
      <w:r w:rsidRPr="00D26D05">
        <w:rPr>
          <w:b/>
        </w:rPr>
        <w:lastRenderedPageBreak/>
        <w:t>Pašvaldības aizņēmumi</w:t>
      </w:r>
      <w:r w:rsidRPr="00D26D05">
        <w:t xml:space="preserve"> tiek plānoti, lai nodrošinātu projektu realizāciju pašvaldības infrastruktūras sakārtošanai un attīstībai. Pašvaldības ir tiesīgas ņemt aizņēmumus un sniegt galvojumus tikai Ministru kabineta noteiktajā kārtībā un likumā “Par valsts budžetu 2021. gadam” noteiktajiem aizņēmumu mērķiem un apjomā.</w:t>
      </w:r>
    </w:p>
    <w:p w14:paraId="03C008F2" w14:textId="77777777" w:rsidR="00987719" w:rsidRPr="006D4B22" w:rsidRDefault="00987719" w:rsidP="00987719">
      <w:pPr>
        <w:spacing w:line="360" w:lineRule="auto"/>
        <w:ind w:firstLine="426"/>
        <w:jc w:val="both"/>
        <w:rPr>
          <w:b/>
          <w:bCs/>
        </w:rPr>
      </w:pPr>
      <w:r w:rsidRPr="006D4B22">
        <w:t>Likuma “Par valsts budžetu 2021. gadam</w:t>
      </w:r>
      <w:r w:rsidRPr="006D4B22">
        <w:rPr>
          <w:bCs/>
        </w:rPr>
        <w:t>”</w:t>
      </w:r>
      <w:r w:rsidRPr="006D4B22">
        <w:t xml:space="preserve"> 12. pants nosaka pašvaldību aizņēmumu kopējo apjomu un aizņemšanās mērķus. Atbilstoši likumā noteiktajam Ogres novada pašvaldībai pēc ATR 2021. gada budžetā plānotā </w:t>
      </w:r>
      <w:r>
        <w:t>aizņēmumu</w:t>
      </w:r>
      <w:r w:rsidRPr="006D4B22">
        <w:t xml:space="preserve"> summa ir 2</w:t>
      </w:r>
      <w:r>
        <w:t xml:space="preserve">4 714 246 </w:t>
      </w:r>
      <w:r w:rsidRPr="006D4B22">
        <w:t xml:space="preserve">eiro </w:t>
      </w:r>
      <w:r>
        <w:t>44</w:t>
      </w:r>
      <w:r w:rsidRPr="006D4B22">
        <w:t xml:space="preserve"> infrastruktūras attīstības projektu realizācijai: Eiropas Savienības fondu un pārējās ārvalstu finanšu palīdzības līdzfinansēto projektu īstenošanai (</w:t>
      </w:r>
      <w:r>
        <w:t>6</w:t>
      </w:r>
      <w:r w:rsidRPr="006D4B22">
        <w:t xml:space="preserve"> projekti); Emisijas kvotu izsolīšanas instrumenta līdzfinansēto projektu īstenošanai (1 projekt</w:t>
      </w:r>
      <w:r>
        <w:t>s</w:t>
      </w:r>
      <w:r w:rsidRPr="006D4B22">
        <w:t>),</w:t>
      </w:r>
      <w:r w:rsidRPr="00987719">
        <w:t xml:space="preserve"> jaunas pirmsskolas izglītības iestādes būvniecībai</w:t>
      </w:r>
      <w:r>
        <w:t xml:space="preserve"> </w:t>
      </w:r>
      <w:r w:rsidRPr="006D4B22">
        <w:t>(1 projekt</w:t>
      </w:r>
      <w:r>
        <w:t>s</w:t>
      </w:r>
      <w:r w:rsidRPr="006D4B22">
        <w:t>), ar Covid-19 saistītie projekti (</w:t>
      </w:r>
      <w:r>
        <w:t>35</w:t>
      </w:r>
      <w:r w:rsidRPr="006D4B22">
        <w:t xml:space="preserve"> projekti) un viens prioritārais projekts.</w:t>
      </w:r>
      <w:r w:rsidRPr="006D4B22">
        <w:rPr>
          <w:b/>
          <w:bCs/>
        </w:rPr>
        <w:t xml:space="preserve"> </w:t>
      </w:r>
    </w:p>
    <w:p w14:paraId="7923E59B" w14:textId="77777777" w:rsidR="00692FC9" w:rsidRDefault="00005B53" w:rsidP="009D5899">
      <w:pPr>
        <w:spacing w:line="360" w:lineRule="auto"/>
        <w:ind w:firstLine="426"/>
        <w:jc w:val="both"/>
      </w:pPr>
      <w:r w:rsidRPr="002A57F9">
        <w:t>Ogres novadu veidojoš</w:t>
      </w:r>
      <w:r w:rsidR="00692FC9" w:rsidRPr="002A57F9">
        <w:t xml:space="preserve">o teritoriālo vienību griezumā pašvaldības aizņēmumi 2021. gada budžetā plānoti 30 projektu realizēšanai Ogrē, 1 projekta realizēšanai Ķegumā, 4 projektu realizēšanai </w:t>
      </w:r>
      <w:r w:rsidR="006B1437" w:rsidRPr="002A57F9">
        <w:t>Ikšķil</w:t>
      </w:r>
      <w:r w:rsidR="00692FC9" w:rsidRPr="002A57F9">
        <w:t xml:space="preserve">ē un 7 projektu realizēšanai </w:t>
      </w:r>
      <w:r w:rsidR="006B1437" w:rsidRPr="002A57F9">
        <w:t>Lielvārd</w:t>
      </w:r>
      <w:r w:rsidR="00692FC9" w:rsidRPr="002A57F9">
        <w:t>ē.</w:t>
      </w:r>
    </w:p>
    <w:p w14:paraId="712C6643" w14:textId="77777777" w:rsidR="00176BBE" w:rsidRPr="002A57F9" w:rsidRDefault="009D5899" w:rsidP="009D5899">
      <w:pPr>
        <w:spacing w:line="360" w:lineRule="auto"/>
        <w:ind w:firstLine="426"/>
        <w:jc w:val="both"/>
      </w:pPr>
      <w:r w:rsidRPr="002E075C">
        <w:rPr>
          <w:b/>
        </w:rPr>
        <w:t>Pašvaldības aizņēmumu atmaksa.</w:t>
      </w:r>
      <w:r w:rsidRPr="002E075C">
        <w:t xml:space="preserve"> </w:t>
      </w:r>
      <w:r w:rsidR="00176BBE" w:rsidRPr="002A57F9">
        <w:t>Saskaņā ar noslēgt</w:t>
      </w:r>
      <w:r w:rsidR="00692FC9" w:rsidRPr="002A57F9">
        <w:t>ajiem</w:t>
      </w:r>
      <w:r w:rsidR="00176BBE" w:rsidRPr="002A57F9">
        <w:t xml:space="preserve"> aizņēmumu līgumiem ar Valsts kasi 2021.gadā paredzēts atmaksāt</w:t>
      </w:r>
      <w:r w:rsidRPr="002A57F9">
        <w:t xml:space="preserve"> </w:t>
      </w:r>
      <w:r w:rsidR="00176BBE" w:rsidRPr="002A57F9">
        <w:t xml:space="preserve">aizņēmumu pamatsummas </w:t>
      </w:r>
      <w:r w:rsidR="002E075C" w:rsidRPr="002A57F9">
        <w:t>6 714 517</w:t>
      </w:r>
      <w:r w:rsidR="00176BBE" w:rsidRPr="002A57F9">
        <w:t xml:space="preserve"> </w:t>
      </w:r>
      <w:r w:rsidR="00847356" w:rsidRPr="002A57F9">
        <w:t>eiro</w:t>
      </w:r>
      <w:r w:rsidR="00176BBE" w:rsidRPr="002A57F9">
        <w:t xml:space="preserve"> apmērā.</w:t>
      </w:r>
    </w:p>
    <w:p w14:paraId="4F5C1B64" w14:textId="77777777" w:rsidR="00692FC9" w:rsidRDefault="00847356" w:rsidP="005F2AE8">
      <w:pPr>
        <w:spacing w:line="360" w:lineRule="auto"/>
        <w:ind w:firstLine="426"/>
        <w:jc w:val="both"/>
      </w:pPr>
      <w:r w:rsidRPr="002A57F9">
        <w:t>Uz 202</w:t>
      </w:r>
      <w:r w:rsidR="005F2AE8" w:rsidRPr="002A57F9">
        <w:t>1</w:t>
      </w:r>
      <w:r w:rsidRPr="002A57F9">
        <w:t>. gada 1. janvāri Ogres novada pašva</w:t>
      </w:r>
      <w:r w:rsidRPr="00FD6D6B">
        <w:t>ldībai</w:t>
      </w:r>
      <w:r w:rsidR="00FD6D6B" w:rsidRPr="00FD6D6B">
        <w:t xml:space="preserve"> pēc ATR</w:t>
      </w:r>
      <w:r w:rsidRPr="00FD6D6B">
        <w:t xml:space="preserve"> ir </w:t>
      </w:r>
      <w:r w:rsidR="00FD6D6B" w:rsidRPr="00FD6D6B">
        <w:t>131</w:t>
      </w:r>
      <w:r w:rsidRPr="00FD6D6B">
        <w:t xml:space="preserve"> aizņēmumu līgum</w:t>
      </w:r>
      <w:r w:rsidR="00FD6D6B" w:rsidRPr="00FD6D6B">
        <w:t>s</w:t>
      </w:r>
      <w:r w:rsidRPr="00FD6D6B">
        <w:t xml:space="preserve"> ar </w:t>
      </w:r>
      <w:r w:rsidR="00FD6D6B" w:rsidRPr="008732DA">
        <w:t>aizņēmum</w:t>
      </w:r>
      <w:r w:rsidRPr="008732DA">
        <w:t xml:space="preserve">u neatmaksāto daļu </w:t>
      </w:r>
      <w:r w:rsidR="00FD6D6B" w:rsidRPr="008732DA">
        <w:t>62 648 854</w:t>
      </w:r>
      <w:r w:rsidRPr="008732DA">
        <w:t xml:space="preserve"> eiro.</w:t>
      </w:r>
    </w:p>
    <w:p w14:paraId="1B939955" w14:textId="77777777" w:rsidR="00692FC9" w:rsidRPr="002A57F9" w:rsidRDefault="00847356" w:rsidP="005F2AE8">
      <w:pPr>
        <w:spacing w:line="360" w:lineRule="auto"/>
        <w:ind w:firstLine="426"/>
        <w:jc w:val="both"/>
      </w:pPr>
      <w:r w:rsidRPr="008732DA">
        <w:t xml:space="preserve"> </w:t>
      </w:r>
      <w:r w:rsidR="00D44984" w:rsidRPr="002A57F9">
        <w:t>Ogres novada pašvaldības aizņēmumu plānotās saistī</w:t>
      </w:r>
      <w:r w:rsidR="00692FC9" w:rsidRPr="002A57F9">
        <w:t>bas turpmākajiem trijiem gadiem –</w:t>
      </w:r>
    </w:p>
    <w:p w14:paraId="086E08BB" w14:textId="77777777" w:rsidR="00176BBE" w:rsidRPr="008732DA" w:rsidRDefault="00692FC9" w:rsidP="00692FC9">
      <w:pPr>
        <w:spacing w:line="360" w:lineRule="auto"/>
        <w:jc w:val="both"/>
      </w:pPr>
      <w:r w:rsidRPr="002A57F9">
        <w:t xml:space="preserve">skat. </w:t>
      </w:r>
      <w:r w:rsidR="00D44984" w:rsidRPr="002A57F9">
        <w:t>1. pielikum</w:t>
      </w:r>
      <w:r w:rsidRPr="002A57F9">
        <w:t>u.</w:t>
      </w:r>
      <w:r w:rsidR="00FD6D6B" w:rsidRPr="008732DA">
        <w:t xml:space="preserve"> </w:t>
      </w:r>
    </w:p>
    <w:p w14:paraId="00519FEA" w14:textId="77777777" w:rsidR="00692FC9" w:rsidRDefault="00847356" w:rsidP="005F2AE8">
      <w:pPr>
        <w:spacing w:line="360" w:lineRule="auto"/>
        <w:ind w:firstLine="426"/>
        <w:jc w:val="both"/>
      </w:pPr>
      <w:r w:rsidRPr="008732DA">
        <w:t>Uz 202</w:t>
      </w:r>
      <w:r w:rsidR="005F2AE8" w:rsidRPr="008732DA">
        <w:t>1</w:t>
      </w:r>
      <w:r w:rsidRPr="008732DA">
        <w:t xml:space="preserve">. gada 1. janvāri </w:t>
      </w:r>
      <w:r w:rsidR="00E620F4" w:rsidRPr="008732DA">
        <w:t xml:space="preserve">pēc ATR </w:t>
      </w:r>
      <w:r w:rsidRPr="008732DA">
        <w:t xml:space="preserve">Ogres novada pašvaldībai ir </w:t>
      </w:r>
      <w:r w:rsidR="00E620F4" w:rsidRPr="008732DA">
        <w:t>17 galvojumu saistības, no tām 8</w:t>
      </w:r>
      <w:r w:rsidRPr="008732DA">
        <w:t xml:space="preserve"> galvojumi privātpersonām studiju kredītiem, aizņēmumu līgum</w:t>
      </w:r>
      <w:r w:rsidR="005F2AE8" w:rsidRPr="008732DA">
        <w:t>u</w:t>
      </w:r>
      <w:r w:rsidRPr="008732DA">
        <w:t xml:space="preserve"> summ</w:t>
      </w:r>
      <w:r w:rsidR="005F2AE8" w:rsidRPr="008732DA">
        <w:t>u</w:t>
      </w:r>
      <w:r w:rsidRPr="008732DA">
        <w:t xml:space="preserve"> neatmaksātā daļa – </w:t>
      </w:r>
      <w:r w:rsidR="00E620F4" w:rsidRPr="008732DA">
        <w:t xml:space="preserve">23 445 </w:t>
      </w:r>
      <w:r w:rsidRPr="008732DA">
        <w:t>eiro</w:t>
      </w:r>
      <w:r w:rsidR="00E620F4" w:rsidRPr="008732DA">
        <w:t>.</w:t>
      </w:r>
      <w:r w:rsidR="005F2AE8" w:rsidRPr="008732DA">
        <w:t xml:space="preserve"> </w:t>
      </w:r>
      <w:r w:rsidR="00E620F4" w:rsidRPr="008732DA">
        <w:t>Tāpat ir arī 9 galvojumi kapitālsabiedrībām.</w:t>
      </w:r>
      <w:r w:rsidR="005F2AE8" w:rsidRPr="008732DA">
        <w:t xml:space="preserve"> </w:t>
      </w:r>
      <w:r w:rsidR="00E620F4" w:rsidRPr="008732DA">
        <w:t>G</w:t>
      </w:r>
      <w:r w:rsidR="005F2AE8" w:rsidRPr="008732DA">
        <w:t xml:space="preserve">alvojums pašvaldības kapitālsabiedrībai SIA </w:t>
      </w:r>
      <w:r w:rsidR="008732DA" w:rsidRPr="008732DA">
        <w:t>“</w:t>
      </w:r>
      <w:r w:rsidR="005F2AE8" w:rsidRPr="008732DA">
        <w:t>Ogres Namsaimnieks</w:t>
      </w:r>
      <w:r w:rsidR="008732DA" w:rsidRPr="008732DA">
        <w:t>”</w:t>
      </w:r>
      <w:r w:rsidR="005F2AE8" w:rsidRPr="008732DA">
        <w:t xml:space="preserve"> Kohēzijas fonda projekta </w:t>
      </w:r>
      <w:r w:rsidR="00CE52C1" w:rsidRPr="008732DA">
        <w:t>“</w:t>
      </w:r>
      <w:r w:rsidR="005F2AE8" w:rsidRPr="008732DA">
        <w:t xml:space="preserve">Centralizētās siltumapgādes </w:t>
      </w:r>
      <w:r w:rsidR="005F2AE8" w:rsidRPr="008732DA">
        <w:lastRenderedPageBreak/>
        <w:t>pārvades un sadales sistēmas efektivitātes paaugstināšana Ogres pilsētā</w:t>
      </w:r>
      <w:r w:rsidR="00CE52C1" w:rsidRPr="008732DA">
        <w:t>”</w:t>
      </w:r>
      <w:r w:rsidR="005F2AE8" w:rsidRPr="008732DA">
        <w:t xml:space="preserve"> realizācijai 1 929 158 eiro</w:t>
      </w:r>
      <w:r w:rsidRPr="008732DA">
        <w:t>.</w:t>
      </w:r>
      <w:r w:rsidR="00692FC9">
        <w:t xml:space="preserve"> Divi galvojumi </w:t>
      </w:r>
      <w:r w:rsidR="008732DA" w:rsidRPr="002A57F9">
        <w:t xml:space="preserve">SIA </w:t>
      </w:r>
      <w:r w:rsidR="00692FC9" w:rsidRPr="002A57F9">
        <w:t>“</w:t>
      </w:r>
      <w:r w:rsidR="008732DA" w:rsidRPr="002A57F9">
        <w:t>Ikšķiles māja</w:t>
      </w:r>
      <w:r w:rsidR="00692FC9" w:rsidRPr="002A57F9">
        <w:t>”</w:t>
      </w:r>
      <w:r w:rsidR="008732DA" w:rsidRPr="002A57F9">
        <w:t xml:space="preserve"> par kopējo</w:t>
      </w:r>
      <w:r w:rsidR="008732DA">
        <w:t xml:space="preserve"> neatmaksāto summu 726 883 eiro, galvojums SIA “Lielvārdes Remte” – 306 772 eiro un pieci galvojumi SIA “Ķeguma stars” par kopējo summu 1 512 926 eiro</w:t>
      </w:r>
      <w:r w:rsidR="00EF0179" w:rsidRPr="00EF0179">
        <w:t>.</w:t>
      </w:r>
      <w:r w:rsidR="008732DA" w:rsidRPr="00EF0179">
        <w:t xml:space="preserve"> </w:t>
      </w:r>
    </w:p>
    <w:p w14:paraId="56708D67" w14:textId="77777777" w:rsidR="00692FC9" w:rsidRDefault="005F2AE8" w:rsidP="005F2AE8">
      <w:pPr>
        <w:spacing w:line="360" w:lineRule="auto"/>
        <w:ind w:firstLine="426"/>
        <w:jc w:val="both"/>
      </w:pPr>
      <w:r w:rsidRPr="00EF0179">
        <w:t xml:space="preserve">Ogres novada pašvaldības galvojumu plānotās saistības turpmākajiem trijiem gadiem </w:t>
      </w:r>
      <w:r w:rsidR="00692FC9">
        <w:t>–</w:t>
      </w:r>
    </w:p>
    <w:p w14:paraId="36ED8781" w14:textId="77777777" w:rsidR="00847356" w:rsidRDefault="00692FC9" w:rsidP="00692FC9">
      <w:pPr>
        <w:spacing w:line="360" w:lineRule="auto"/>
        <w:jc w:val="both"/>
      </w:pPr>
      <w:r>
        <w:t xml:space="preserve">skat. </w:t>
      </w:r>
      <w:r w:rsidR="005F2AE8" w:rsidRPr="00EF0179">
        <w:t>2. pielikum</w:t>
      </w:r>
      <w:r>
        <w:t>u</w:t>
      </w:r>
      <w:r w:rsidR="005F2AE8" w:rsidRPr="00EF0179">
        <w:t>.</w:t>
      </w:r>
    </w:p>
    <w:p w14:paraId="517434FB" w14:textId="1FED0E5B" w:rsidR="00771F78" w:rsidRPr="00EF0179" w:rsidRDefault="00771F78" w:rsidP="00771F78">
      <w:pPr>
        <w:spacing w:line="360" w:lineRule="auto"/>
        <w:ind w:firstLine="426"/>
        <w:jc w:val="both"/>
      </w:pPr>
      <w:r w:rsidRPr="00EF0179">
        <w:t>Budžeta līdzekļu atlikums uz gada sākumu</w:t>
      </w:r>
      <w:r w:rsidR="00EF0179" w:rsidRPr="00EF0179">
        <w:t xml:space="preserve"> ir 17 707 612 eiro</w:t>
      </w:r>
      <w:r w:rsidRPr="00EF0179">
        <w:t>. Budžeta līdzekļu atlikumu veido investīciju projektu realizēšanai piešķirtais finansējums projektiem (šo projektu īstenošana turpināsies 2021. gadā), pašvaldības budžetā ieskaitīt</w:t>
      </w:r>
      <w:r w:rsidR="002A57F9">
        <w:t>ais</w:t>
      </w:r>
      <w:r w:rsidRPr="00EF0179">
        <w:t xml:space="preserve"> iedzīvotāju ienākumu nodokļa pār</w:t>
      </w:r>
      <w:r w:rsidR="002A57F9">
        <w:t>sniegums pret plānoto</w:t>
      </w:r>
      <w:r w:rsidRPr="00EF0179">
        <w:t>, kā arī iestāžu un aģentūru ietaupītie līdzekļi.</w:t>
      </w:r>
    </w:p>
    <w:p w14:paraId="180FED53" w14:textId="77777777" w:rsidR="00A37767" w:rsidRDefault="00A37767" w:rsidP="00A37767">
      <w:pPr>
        <w:tabs>
          <w:tab w:val="left" w:pos="1990"/>
        </w:tabs>
        <w:spacing w:line="360" w:lineRule="auto"/>
        <w:jc w:val="both"/>
      </w:pPr>
      <w:r>
        <w:t xml:space="preserve">    </w:t>
      </w:r>
    </w:p>
    <w:p w14:paraId="36104180" w14:textId="098ED971" w:rsidR="00A37767" w:rsidRDefault="004C644B" w:rsidP="00A37767">
      <w:pPr>
        <w:tabs>
          <w:tab w:val="left" w:pos="1990"/>
        </w:tabs>
        <w:spacing w:line="360" w:lineRule="auto"/>
        <w:jc w:val="both"/>
      </w:pPr>
      <w:r>
        <w:t>Domes</w:t>
      </w:r>
      <w:r w:rsidR="00A37767">
        <w:t xml:space="preserve"> priekšsēdētājs                     </w:t>
      </w:r>
      <w:r>
        <w:tab/>
      </w:r>
      <w:r>
        <w:tab/>
      </w:r>
      <w:r>
        <w:tab/>
      </w:r>
      <w:r>
        <w:tab/>
      </w:r>
      <w:bookmarkStart w:id="2" w:name="_GoBack"/>
      <w:bookmarkEnd w:id="2"/>
      <w:r w:rsidR="00A37767">
        <w:t xml:space="preserve">                    E. Helmanis</w:t>
      </w:r>
    </w:p>
    <w:p w14:paraId="28AD95C1" w14:textId="77777777" w:rsidR="00A37767" w:rsidRDefault="00A37767" w:rsidP="00A37767"/>
    <w:p w14:paraId="6EEF8FEC" w14:textId="77777777" w:rsidR="00FB778F" w:rsidRDefault="00FB778F"/>
    <w:sectPr w:rsidR="00FB778F" w:rsidSect="002F7BBC">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67F93" w14:textId="77777777" w:rsidR="00AE4172" w:rsidRDefault="00AE4172" w:rsidP="0081364E">
      <w:r>
        <w:separator/>
      </w:r>
    </w:p>
  </w:endnote>
  <w:endnote w:type="continuationSeparator" w:id="0">
    <w:p w14:paraId="09CEF7B7" w14:textId="77777777" w:rsidR="00AE4172" w:rsidRDefault="00AE4172" w:rsidP="0081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060644"/>
      <w:docPartObj>
        <w:docPartGallery w:val="Page Numbers (Bottom of Page)"/>
        <w:docPartUnique/>
      </w:docPartObj>
    </w:sdtPr>
    <w:sdtEndPr/>
    <w:sdtContent>
      <w:p w14:paraId="70905F1D" w14:textId="77777777" w:rsidR="0081364E" w:rsidRDefault="0081364E">
        <w:pPr>
          <w:pStyle w:val="Kjene"/>
          <w:jc w:val="center"/>
        </w:pPr>
        <w:r>
          <w:fldChar w:fldCharType="begin"/>
        </w:r>
        <w:r>
          <w:instrText>PAGE   \* MERGEFORMAT</w:instrText>
        </w:r>
        <w:r>
          <w:fldChar w:fldCharType="separate"/>
        </w:r>
        <w:r w:rsidR="004C644B">
          <w:rPr>
            <w:noProof/>
          </w:rPr>
          <w:t>8</w:t>
        </w:r>
        <w:r>
          <w:fldChar w:fldCharType="end"/>
        </w:r>
      </w:p>
    </w:sdtContent>
  </w:sdt>
  <w:p w14:paraId="6D9DDF55" w14:textId="77777777" w:rsidR="0081364E" w:rsidRDefault="0081364E">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DE795" w14:textId="77777777" w:rsidR="00AE4172" w:rsidRDefault="00AE4172" w:rsidP="0081364E">
      <w:r>
        <w:separator/>
      </w:r>
    </w:p>
  </w:footnote>
  <w:footnote w:type="continuationSeparator" w:id="0">
    <w:p w14:paraId="17C0CCC9" w14:textId="77777777" w:rsidR="00AE4172" w:rsidRDefault="00AE4172" w:rsidP="008136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D677D8"/>
    <w:multiLevelType w:val="hybridMultilevel"/>
    <w:tmpl w:val="CB18E1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F46046F"/>
    <w:multiLevelType w:val="hybridMultilevel"/>
    <w:tmpl w:val="A098726C"/>
    <w:lvl w:ilvl="0" w:tplc="BB74CD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15:restartNumberingAfterBreak="0">
    <w:nsid w:val="50260738"/>
    <w:multiLevelType w:val="hybridMultilevel"/>
    <w:tmpl w:val="22C662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D0A0FA1"/>
    <w:multiLevelType w:val="hybridMultilevel"/>
    <w:tmpl w:val="990E57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2150F23"/>
    <w:multiLevelType w:val="hybridMultilevel"/>
    <w:tmpl w:val="E3CCBF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7D47CDA"/>
    <w:multiLevelType w:val="hybridMultilevel"/>
    <w:tmpl w:val="6610E8B6"/>
    <w:lvl w:ilvl="0" w:tplc="04260001">
      <w:start w:val="1"/>
      <w:numFmt w:val="bullet"/>
      <w:lvlText w:val=""/>
      <w:lvlJc w:val="left"/>
      <w:pPr>
        <w:ind w:left="928"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0E"/>
    <w:rsid w:val="00004F66"/>
    <w:rsid w:val="00005B53"/>
    <w:rsid w:val="000469C0"/>
    <w:rsid w:val="00063B56"/>
    <w:rsid w:val="000848B1"/>
    <w:rsid w:val="00091451"/>
    <w:rsid w:val="000A0E5A"/>
    <w:rsid w:val="000A48E7"/>
    <w:rsid w:val="000D2295"/>
    <w:rsid w:val="000F1D4B"/>
    <w:rsid w:val="000F4A66"/>
    <w:rsid w:val="00104ECB"/>
    <w:rsid w:val="001328D4"/>
    <w:rsid w:val="00175A9E"/>
    <w:rsid w:val="00176BBE"/>
    <w:rsid w:val="001A1484"/>
    <w:rsid w:val="001F25D7"/>
    <w:rsid w:val="002117A2"/>
    <w:rsid w:val="002428CF"/>
    <w:rsid w:val="0027014E"/>
    <w:rsid w:val="002872F7"/>
    <w:rsid w:val="002963CA"/>
    <w:rsid w:val="002A57F9"/>
    <w:rsid w:val="002D1FE9"/>
    <w:rsid w:val="002E075C"/>
    <w:rsid w:val="002F7BBC"/>
    <w:rsid w:val="00341C00"/>
    <w:rsid w:val="003465D1"/>
    <w:rsid w:val="003813F9"/>
    <w:rsid w:val="00381740"/>
    <w:rsid w:val="00383DEF"/>
    <w:rsid w:val="0039013C"/>
    <w:rsid w:val="003B41D3"/>
    <w:rsid w:val="003C421E"/>
    <w:rsid w:val="0040197E"/>
    <w:rsid w:val="00411906"/>
    <w:rsid w:val="00480599"/>
    <w:rsid w:val="00481718"/>
    <w:rsid w:val="004B2370"/>
    <w:rsid w:val="004C644B"/>
    <w:rsid w:val="004D35AF"/>
    <w:rsid w:val="004F4AC4"/>
    <w:rsid w:val="005016D0"/>
    <w:rsid w:val="0052260D"/>
    <w:rsid w:val="0053731F"/>
    <w:rsid w:val="0055213D"/>
    <w:rsid w:val="00552374"/>
    <w:rsid w:val="00557DC4"/>
    <w:rsid w:val="00562B92"/>
    <w:rsid w:val="00594EB8"/>
    <w:rsid w:val="005B514C"/>
    <w:rsid w:val="005E19C5"/>
    <w:rsid w:val="005F2AE8"/>
    <w:rsid w:val="00656E57"/>
    <w:rsid w:val="0068711A"/>
    <w:rsid w:val="00692FC9"/>
    <w:rsid w:val="00693D1C"/>
    <w:rsid w:val="0069450B"/>
    <w:rsid w:val="006A0203"/>
    <w:rsid w:val="006B1437"/>
    <w:rsid w:val="006B7C3D"/>
    <w:rsid w:val="006D4B22"/>
    <w:rsid w:val="006F5590"/>
    <w:rsid w:val="007055AF"/>
    <w:rsid w:val="007329A9"/>
    <w:rsid w:val="007361B9"/>
    <w:rsid w:val="00770EB2"/>
    <w:rsid w:val="00771F78"/>
    <w:rsid w:val="00782146"/>
    <w:rsid w:val="007D5512"/>
    <w:rsid w:val="007F56BC"/>
    <w:rsid w:val="0081364E"/>
    <w:rsid w:val="00847356"/>
    <w:rsid w:val="008572FB"/>
    <w:rsid w:val="008718E6"/>
    <w:rsid w:val="008732DA"/>
    <w:rsid w:val="008C0883"/>
    <w:rsid w:val="008D0D8F"/>
    <w:rsid w:val="008D3975"/>
    <w:rsid w:val="008F5012"/>
    <w:rsid w:val="0090770F"/>
    <w:rsid w:val="00915E00"/>
    <w:rsid w:val="0093117C"/>
    <w:rsid w:val="00936856"/>
    <w:rsid w:val="00945318"/>
    <w:rsid w:val="009515A3"/>
    <w:rsid w:val="00965384"/>
    <w:rsid w:val="0097381D"/>
    <w:rsid w:val="009742D8"/>
    <w:rsid w:val="00987719"/>
    <w:rsid w:val="00993D34"/>
    <w:rsid w:val="009C6E6E"/>
    <w:rsid w:val="009D5899"/>
    <w:rsid w:val="00A069E9"/>
    <w:rsid w:val="00A151A7"/>
    <w:rsid w:val="00A253FF"/>
    <w:rsid w:val="00A37767"/>
    <w:rsid w:val="00A65A93"/>
    <w:rsid w:val="00A7405E"/>
    <w:rsid w:val="00A81267"/>
    <w:rsid w:val="00A843D1"/>
    <w:rsid w:val="00A94C58"/>
    <w:rsid w:val="00AC2B34"/>
    <w:rsid w:val="00AE4172"/>
    <w:rsid w:val="00B03CF9"/>
    <w:rsid w:val="00B26DF3"/>
    <w:rsid w:val="00B4010D"/>
    <w:rsid w:val="00B43CBB"/>
    <w:rsid w:val="00B57A41"/>
    <w:rsid w:val="00B83901"/>
    <w:rsid w:val="00BD1F90"/>
    <w:rsid w:val="00BD6430"/>
    <w:rsid w:val="00C141E9"/>
    <w:rsid w:val="00C30938"/>
    <w:rsid w:val="00CA471E"/>
    <w:rsid w:val="00CB362A"/>
    <w:rsid w:val="00CD1308"/>
    <w:rsid w:val="00CE52C1"/>
    <w:rsid w:val="00CF6F57"/>
    <w:rsid w:val="00CF7453"/>
    <w:rsid w:val="00D26D05"/>
    <w:rsid w:val="00D32DD1"/>
    <w:rsid w:val="00D375D3"/>
    <w:rsid w:val="00D44984"/>
    <w:rsid w:val="00DB5070"/>
    <w:rsid w:val="00DE4531"/>
    <w:rsid w:val="00E620F4"/>
    <w:rsid w:val="00E85038"/>
    <w:rsid w:val="00EA3CCB"/>
    <w:rsid w:val="00EC00DE"/>
    <w:rsid w:val="00EE7A3B"/>
    <w:rsid w:val="00EF0179"/>
    <w:rsid w:val="00EF32BD"/>
    <w:rsid w:val="00F0094C"/>
    <w:rsid w:val="00F1060E"/>
    <w:rsid w:val="00F27049"/>
    <w:rsid w:val="00F5051B"/>
    <w:rsid w:val="00F5230D"/>
    <w:rsid w:val="00F629D5"/>
    <w:rsid w:val="00F7116F"/>
    <w:rsid w:val="00F85413"/>
    <w:rsid w:val="00F87DFE"/>
    <w:rsid w:val="00F93E89"/>
    <w:rsid w:val="00FA05B9"/>
    <w:rsid w:val="00FA41C3"/>
    <w:rsid w:val="00FB778F"/>
    <w:rsid w:val="00FD6D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01C004"/>
  <w15:chartTrackingRefBased/>
  <w15:docId w15:val="{2861EEF9-4090-4308-B9AB-EBB1A99C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1060E"/>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70EB2"/>
    <w:pPr>
      <w:ind w:left="720"/>
      <w:contextualSpacing/>
    </w:pPr>
  </w:style>
  <w:style w:type="paragraph" w:styleId="Galvene">
    <w:name w:val="header"/>
    <w:basedOn w:val="Parasts"/>
    <w:link w:val="GalveneRakstz"/>
    <w:uiPriority w:val="99"/>
    <w:unhideWhenUsed/>
    <w:rsid w:val="0081364E"/>
    <w:pPr>
      <w:tabs>
        <w:tab w:val="center" w:pos="4153"/>
        <w:tab w:val="right" w:pos="8306"/>
      </w:tabs>
    </w:pPr>
  </w:style>
  <w:style w:type="character" w:customStyle="1" w:styleId="GalveneRakstz">
    <w:name w:val="Galvene Rakstz."/>
    <w:basedOn w:val="Noklusjumarindkopasfonts"/>
    <w:link w:val="Galvene"/>
    <w:uiPriority w:val="99"/>
    <w:rsid w:val="0081364E"/>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81364E"/>
    <w:pPr>
      <w:tabs>
        <w:tab w:val="center" w:pos="4153"/>
        <w:tab w:val="right" w:pos="8306"/>
      </w:tabs>
    </w:pPr>
  </w:style>
  <w:style w:type="character" w:customStyle="1" w:styleId="KjeneRakstz">
    <w:name w:val="Kājene Rakstz."/>
    <w:basedOn w:val="Noklusjumarindkopasfonts"/>
    <w:link w:val="Kjene"/>
    <w:uiPriority w:val="99"/>
    <w:rsid w:val="0081364E"/>
    <w:rPr>
      <w:rFonts w:ascii="Times New Roman" w:eastAsia="Times New Roman" w:hAnsi="Times New Roman" w:cs="Times New Roman"/>
      <w:sz w:val="24"/>
      <w:szCs w:val="24"/>
      <w:lang w:eastAsia="lv-LV"/>
    </w:rPr>
  </w:style>
  <w:style w:type="character" w:customStyle="1" w:styleId="tlid-translation">
    <w:name w:val="tlid-translation"/>
    <w:basedOn w:val="Noklusjumarindkopasfonts"/>
    <w:rsid w:val="00951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903915">
      <w:bodyDiv w:val="1"/>
      <w:marLeft w:val="0"/>
      <w:marRight w:val="0"/>
      <w:marTop w:val="0"/>
      <w:marBottom w:val="0"/>
      <w:divBdr>
        <w:top w:val="none" w:sz="0" w:space="0" w:color="auto"/>
        <w:left w:val="none" w:sz="0" w:space="0" w:color="auto"/>
        <w:bottom w:val="none" w:sz="0" w:space="0" w:color="auto"/>
        <w:right w:val="none" w:sz="0" w:space="0" w:color="auto"/>
      </w:divBdr>
    </w:div>
    <w:div w:id="192729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000000"/>
                </a:solidFill>
                <a:latin typeface="Calibri"/>
                <a:ea typeface="Calibri"/>
                <a:cs typeface="Calibri"/>
              </a:defRPr>
            </a:pPr>
            <a:r>
              <a:rPr lang="lv-LV"/>
              <a:t>Ogres novada pašvaldības 2021.gada  pamatbudžeta ieņēmumu EUR 81 698 901 struktūra</a:t>
            </a:r>
          </a:p>
        </c:rich>
      </c:tx>
      <c:layout>
        <c:manualLayout>
          <c:xMode val="edge"/>
          <c:yMode val="edge"/>
          <c:x val="0.19086757990867581"/>
          <c:y val="1.8306600563818411E-2"/>
        </c:manualLayout>
      </c:layout>
      <c:overlay val="0"/>
      <c:spPr>
        <a:noFill/>
        <a:ln w="25400">
          <a:noFill/>
        </a:ln>
      </c:spPr>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0.15088713910761156"/>
          <c:y val="0.27353399195565281"/>
          <c:w val="0.78041764642433398"/>
          <c:h val="0.62082376957782237"/>
        </c:manualLayout>
      </c:layout>
      <c:pie3DChart>
        <c:varyColors val="1"/>
        <c:ser>
          <c:idx val="0"/>
          <c:order val="0"/>
          <c:explosion val="12"/>
          <c:dPt>
            <c:idx val="0"/>
            <c:bubble3D val="0"/>
            <c:spPr>
              <a:solidFill>
                <a:srgbClr val="F6882E"/>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E299-4894-847A-070C3EE6DEC3}"/>
              </c:ext>
            </c:extLst>
          </c:dPt>
          <c:dPt>
            <c:idx val="1"/>
            <c:bubble3D val="0"/>
            <c:spPr>
              <a:solidFill>
                <a:schemeClr val="accent4">
                  <a:lumMod val="75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E299-4894-847A-070C3EE6DEC3}"/>
              </c:ext>
            </c:extLst>
          </c:dPt>
          <c:dPt>
            <c:idx val="2"/>
            <c:bubble3D val="0"/>
            <c:explosion val="18"/>
            <c:spPr>
              <a:solidFill>
                <a:srgbClr val="FF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E299-4894-847A-070C3EE6DEC3}"/>
              </c:ext>
            </c:extLst>
          </c:dPt>
          <c:dPt>
            <c:idx val="3"/>
            <c:bubble3D val="0"/>
            <c:spPr>
              <a:solidFill>
                <a:srgbClr val="FFFF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E299-4894-847A-070C3EE6DEC3}"/>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E299-4894-847A-070C3EE6DEC3}"/>
              </c:ext>
            </c:extLst>
          </c:dPt>
          <c:dPt>
            <c:idx val="5"/>
            <c:bubble3D val="0"/>
            <c:extLst xmlns:c16r2="http://schemas.microsoft.com/office/drawing/2015/06/chart">
              <c:ext xmlns:c16="http://schemas.microsoft.com/office/drawing/2014/chart" uri="{C3380CC4-5D6E-409C-BE32-E72D297353CC}">
                <c16:uniqueId val="{0000000A-E299-4894-847A-070C3EE6DEC3}"/>
              </c:ext>
            </c:extLst>
          </c:dPt>
          <c:dPt>
            <c:idx val="6"/>
            <c:bubble3D val="0"/>
            <c:spPr>
              <a:solidFill>
                <a:srgbClr val="00B050"/>
              </a:solidFill>
            </c:spPr>
            <c:extLst xmlns:c16r2="http://schemas.microsoft.com/office/drawing/2015/06/chart">
              <c:ext xmlns:c16="http://schemas.microsoft.com/office/drawing/2014/chart" uri="{C3380CC4-5D6E-409C-BE32-E72D297353CC}">
                <c16:uniqueId val="{0000000C-E299-4894-847A-070C3EE6DEC3}"/>
              </c:ext>
            </c:extLst>
          </c:dPt>
          <c:dLbls>
            <c:dLbl>
              <c:idx val="0"/>
              <c:layout>
                <c:manualLayout>
                  <c:x val="-0.18061640240175458"/>
                  <c:y val="-0.1377503302283293"/>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E299-4894-847A-070C3EE6DEC3}"/>
                </c:ext>
                <c:ext xmlns:c15="http://schemas.microsoft.com/office/drawing/2012/chart" uri="{CE6537A1-D6FC-4f65-9D91-7224C49458BB}">
                  <c15:layout/>
                </c:ext>
              </c:extLst>
            </c:dLbl>
            <c:dLbl>
              <c:idx val="1"/>
              <c:layout>
                <c:manualLayout>
                  <c:x val="0.11239348506094266"/>
                  <c:y val="-2.3561433905728039E-3"/>
                </c:manualLayout>
              </c:layout>
              <c:numFmt formatCode="0.0%" sourceLinked="0"/>
              <c:spPr>
                <a:noFill/>
                <a:ln w="25400">
                  <a:noFill/>
                </a:ln>
              </c:spPr>
              <c:txPr>
                <a:bodyPr/>
                <a:lstStyle/>
                <a:p>
                  <a:pPr>
                    <a:defRPr sz="1200" b="1" i="0" u="none" strike="noStrike" baseline="0">
                      <a:solidFill>
                        <a:srgbClr val="000000"/>
                      </a:solidFill>
                      <a:latin typeface="Calibri"/>
                      <a:ea typeface="Calibri"/>
                      <a:cs typeface="Calibri"/>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E299-4894-847A-070C3EE6DEC3}"/>
                </c:ext>
                <c:ext xmlns:c15="http://schemas.microsoft.com/office/drawing/2012/chart" uri="{CE6537A1-D6FC-4f65-9D91-7224C49458BB}">
                  <c15:layout/>
                </c:ext>
              </c:extLst>
            </c:dLbl>
            <c:dLbl>
              <c:idx val="2"/>
              <c:layout>
                <c:manualLayout>
                  <c:x val="-0.15981574785149516"/>
                  <c:y val="-3.6008705933470303E-2"/>
                </c:manualLayout>
              </c:layout>
              <c:numFmt formatCode="0.0%" sourceLinked="0"/>
              <c:spPr>
                <a:noFill/>
                <a:ln w="25400">
                  <a:noFill/>
                </a:ln>
              </c:spPr>
              <c:txPr>
                <a:bodyPr wrap="square" lIns="38100" tIns="19050" rIns="38100" bIns="19050" anchor="ctr">
                  <a:noAutofit/>
                </a:bodyPr>
                <a:lstStyle/>
                <a:p>
                  <a:pPr>
                    <a:defRPr sz="1200" b="1" i="0" u="none" strike="noStrike" baseline="0">
                      <a:solidFill>
                        <a:srgbClr val="000000"/>
                      </a:solidFill>
                      <a:latin typeface="Calibri"/>
                      <a:ea typeface="Calibri"/>
                      <a:cs typeface="Calibri"/>
                    </a:defRPr>
                  </a:pPr>
                  <a:endParaRPr lang="lv-LV"/>
                </a:p>
              </c:txPr>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E299-4894-847A-070C3EE6DEC3}"/>
                </c:ext>
                <c:ext xmlns:c15="http://schemas.microsoft.com/office/drawing/2012/chart" uri="{CE6537A1-D6FC-4f65-9D91-7224C49458BB}">
                  <c15:layout>
                    <c:manualLayout>
                      <c:w val="0.24845810268625204"/>
                      <c:h val="0.33553523882296499"/>
                    </c:manualLayout>
                  </c15:layout>
                </c:ext>
              </c:extLst>
            </c:dLbl>
            <c:dLbl>
              <c:idx val="3"/>
              <c:layout>
                <c:manualLayout>
                  <c:x val="0.22134109948585193"/>
                  <c:y val="-0.11864180376145797"/>
                </c:manualLayout>
              </c:layout>
              <c:numFmt formatCode="0.0%" sourceLinked="0"/>
              <c:spPr>
                <a:noFill/>
                <a:ln w="25400">
                  <a:noFill/>
                </a:ln>
              </c:spPr>
              <c:txPr>
                <a:bodyPr/>
                <a:lstStyle/>
                <a:p>
                  <a:pPr>
                    <a:defRPr sz="1200" b="1" i="0" u="none" strike="noStrike" baseline="0">
                      <a:solidFill>
                        <a:srgbClr val="000000"/>
                      </a:solidFill>
                      <a:latin typeface="Calibri"/>
                      <a:ea typeface="Calibri"/>
                      <a:cs typeface="Calibri"/>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E299-4894-847A-070C3EE6DEC3}"/>
                </c:ext>
                <c:ext xmlns:c15="http://schemas.microsoft.com/office/drawing/2012/chart" uri="{CE6537A1-D6FC-4f65-9D91-7224C49458BB}">
                  <c15:layout/>
                </c:ext>
              </c:extLst>
            </c:dLbl>
            <c:dLbl>
              <c:idx val="4"/>
              <c:layout>
                <c:manualLayout>
                  <c:x val="-0.11508934670837379"/>
                  <c:y val="6.3987785840495401E-2"/>
                </c:manualLayout>
              </c:layout>
              <c:numFmt formatCode="0.0%" sourceLinked="0"/>
              <c:spPr>
                <a:noFill/>
                <a:ln w="25400">
                  <a:noFill/>
                </a:ln>
              </c:spPr>
              <c:txPr>
                <a:bodyPr/>
                <a:lstStyle/>
                <a:p>
                  <a:pPr>
                    <a:defRPr sz="1200" b="1" i="0" u="none" strike="noStrike" baseline="0">
                      <a:solidFill>
                        <a:srgbClr val="000000"/>
                      </a:solidFill>
                      <a:latin typeface="Calibri"/>
                      <a:ea typeface="Calibri"/>
                      <a:cs typeface="Calibri"/>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E299-4894-847A-070C3EE6DEC3}"/>
                </c:ext>
                <c:ext xmlns:c15="http://schemas.microsoft.com/office/drawing/2012/chart" uri="{CE6537A1-D6FC-4f65-9D91-7224C49458BB}">
                  <c15:layout/>
                </c:ext>
              </c:extLst>
            </c:dLbl>
            <c:dLbl>
              <c:idx val="5"/>
              <c:layout>
                <c:manualLayout>
                  <c:x val="2.6114371999639167E-2"/>
                  <c:y val="-3.9114873486663967E-2"/>
                </c:manualLayout>
              </c:layout>
              <c:numFmt formatCode="0.00%" sourceLinked="0"/>
              <c:spPr>
                <a:noFill/>
                <a:ln w="25400">
                  <a:noFill/>
                </a:ln>
              </c:spPr>
              <c:txPr>
                <a:bodyPr/>
                <a:lstStyle/>
                <a:p>
                  <a:pPr>
                    <a:defRPr sz="1200" b="1" i="0" u="none" strike="noStrike" baseline="0">
                      <a:solidFill>
                        <a:srgbClr val="000000"/>
                      </a:solidFill>
                      <a:latin typeface="Calibri"/>
                      <a:ea typeface="Calibri"/>
                      <a:cs typeface="Calibri"/>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A-E299-4894-847A-070C3EE6DEC3}"/>
                </c:ext>
                <c:ext xmlns:c15="http://schemas.microsoft.com/office/drawing/2012/chart" uri="{CE6537A1-D6FC-4f65-9D91-7224C49458BB}">
                  <c15:layout/>
                </c:ext>
              </c:extLst>
            </c:dLbl>
            <c:dLbl>
              <c:idx val="6"/>
              <c:layout>
                <c:manualLayout>
                  <c:x val="0.16636188401778579"/>
                  <c:y val="-2.3540269950922892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C-E299-4894-847A-070C3EE6DEC3}"/>
                </c:ext>
                <c:ext xmlns:c15="http://schemas.microsoft.com/office/drawing/2012/chart" uri="{CE6537A1-D6FC-4f65-9D91-7224C49458BB}">
                  <c15:layout/>
                </c:ext>
              </c:extLst>
            </c:dLbl>
            <c:numFmt formatCode="0.0%" sourceLinked="0"/>
            <c:spPr>
              <a:noFill/>
              <a:ln w="25400">
                <a:noFill/>
              </a:ln>
            </c:spPr>
            <c:txPr>
              <a:bodyPr wrap="square" lIns="38100" tIns="19050" rIns="38100" bIns="19050" anchor="ctr">
                <a:spAutoFit/>
              </a:bodyPr>
              <a:lstStyle/>
              <a:p>
                <a:pPr>
                  <a:defRPr sz="1200" b="1" i="0" u="none" strike="noStrike" baseline="0">
                    <a:solidFill>
                      <a:srgbClr val="000000"/>
                    </a:solidFill>
                    <a:latin typeface="Calibri"/>
                    <a:ea typeface="Calibri"/>
                    <a:cs typeface="Calibri"/>
                  </a:defRPr>
                </a:pPr>
                <a:endParaRPr lang="lv-LV"/>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Dati!$A$2:$A$8</c:f>
              <c:strCache>
                <c:ptCount val="7"/>
                <c:pt idx="0">
                  <c:v>Nodokļu ieņēmumi</c:v>
                </c:pt>
                <c:pt idx="1">
                  <c:v>Nenodokļu ieņēmumi</c:v>
                </c:pt>
                <c:pt idx="2">
                  <c:v>Pašvaldību saņemtie transferti no valsts budžeta daļēji finansētām atvasinātām publiskām personām</c:v>
                </c:pt>
                <c:pt idx="3">
                  <c:v>Valsts budžeta transferti</c:v>
                </c:pt>
                <c:pt idx="4">
                  <c:v>Pašvaldību budžetu transferti</c:v>
                </c:pt>
                <c:pt idx="5">
                  <c:v>Ārvalstu finanšu palīdzība</c:v>
                </c:pt>
                <c:pt idx="6">
                  <c:v>Budžeta iestāžu ieņēmumi</c:v>
                </c:pt>
              </c:strCache>
            </c:strRef>
          </c:cat>
          <c:val>
            <c:numRef>
              <c:f>Dati!$C$2:$C$8</c:f>
              <c:numCache>
                <c:formatCode>#,##0</c:formatCode>
                <c:ptCount val="7"/>
                <c:pt idx="0">
                  <c:v>44511200</c:v>
                </c:pt>
                <c:pt idx="1">
                  <c:v>1595579</c:v>
                </c:pt>
                <c:pt idx="2">
                  <c:v>106701</c:v>
                </c:pt>
                <c:pt idx="3">
                  <c:v>29075133</c:v>
                </c:pt>
                <c:pt idx="4">
                  <c:v>1422287</c:v>
                </c:pt>
                <c:pt idx="5">
                  <c:v>39426</c:v>
                </c:pt>
                <c:pt idx="6">
                  <c:v>4948575</c:v>
                </c:pt>
              </c:numCache>
            </c:numRef>
          </c:val>
          <c:extLst xmlns:c16r2="http://schemas.microsoft.com/office/drawing/2015/06/chart">
            <c:ext xmlns:c16="http://schemas.microsoft.com/office/drawing/2014/chart" uri="{C3380CC4-5D6E-409C-BE32-E72D297353CC}">
              <c16:uniqueId val="{0000000D-E299-4894-847A-070C3EE6DEC3}"/>
            </c:ext>
          </c:extLst>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spPr>
    <a:gradFill>
      <a:gsLst>
        <a:gs pos="0">
          <a:srgbClr val="FFFF00"/>
        </a:gs>
        <a:gs pos="62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000000"/>
                </a:solidFill>
                <a:latin typeface="Calibri"/>
                <a:ea typeface="Calibri"/>
                <a:cs typeface="Calibri"/>
              </a:defRPr>
            </a:pPr>
            <a:r>
              <a:rPr lang="lv-LV"/>
              <a:t>Ogres novada pašvaldības 2021.gada pamatbudžeta izdevumu EUR 112 439 211 struktūra</a:t>
            </a:r>
          </a:p>
        </c:rich>
      </c:tx>
      <c:layout/>
      <c:overlay val="0"/>
      <c:spPr>
        <a:noFill/>
        <a:ln w="25400">
          <a:noFill/>
        </a:ln>
      </c:spPr>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2.8249175275108954E-2"/>
          <c:y val="0.2846555380577428"/>
          <c:w val="0.78488324346276195"/>
          <c:h val="0.63178857815186895"/>
        </c:manualLayout>
      </c:layout>
      <c:pie3DChart>
        <c:varyColors val="1"/>
        <c:ser>
          <c:idx val="0"/>
          <c:order val="0"/>
          <c:tx>
            <c:strRef>
              <c:f>Dati!$A$20</c:f>
              <c:strCache>
                <c:ptCount val="1"/>
                <c:pt idx="0">
                  <c:v>2021.g. projekts</c:v>
                </c:pt>
              </c:strCache>
            </c:strRef>
          </c:tx>
          <c:explosion val="18"/>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AE43-4603-ABEE-433F1EC13893}"/>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AE43-4603-ABEE-433F1EC13893}"/>
              </c:ext>
            </c:extLst>
          </c:dPt>
          <c:dPt>
            <c:idx val="2"/>
            <c:bubble3D val="0"/>
            <c:spPr>
              <a:solidFill>
                <a:srgbClr val="00B05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AE43-4603-ABEE-433F1EC13893}"/>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AE43-4603-ABEE-433F1EC13893}"/>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AE43-4603-ABEE-433F1EC13893}"/>
              </c:ext>
            </c:extLst>
          </c:dPt>
          <c:dPt>
            <c:idx val="5"/>
            <c:bubble3D val="0"/>
            <c:spPr>
              <a:solidFill>
                <a:srgbClr val="FF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AE43-4603-ABEE-433F1EC13893}"/>
              </c:ext>
            </c:extLst>
          </c:dPt>
          <c:dPt>
            <c:idx val="6"/>
            <c:bubble3D val="0"/>
            <c:spPr>
              <a:solidFill>
                <a:schemeClr val="accent2">
                  <a:lumMod val="60000"/>
                  <a:lumOff val="4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AE43-4603-ABEE-433F1EC13893}"/>
              </c:ext>
            </c:extLst>
          </c:dPt>
          <c:dPt>
            <c:idx val="7"/>
            <c:bubble3D val="0"/>
            <c:spPr>
              <a:solidFill>
                <a:srgbClr val="92D050"/>
              </a:solidFill>
              <a:ln w="25400">
                <a:solidFill>
                  <a:srgbClr val="FFFF00"/>
                </a:solidFill>
                <a:prstDash val="solid"/>
              </a:ln>
            </c:spPr>
            <c:extLst xmlns:c16r2="http://schemas.microsoft.com/office/drawing/2015/06/chart">
              <c:ext xmlns:c16="http://schemas.microsoft.com/office/drawing/2014/chart" uri="{C3380CC4-5D6E-409C-BE32-E72D297353CC}">
                <c16:uniqueId val="{0000000F-AE43-4603-ABEE-433F1EC13893}"/>
              </c:ext>
            </c:extLst>
          </c:dPt>
          <c:dPt>
            <c:idx val="8"/>
            <c:bubble3D val="0"/>
            <c:spPr>
              <a:solidFill>
                <a:schemeClr val="accent3">
                  <a:lumMod val="5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1-AE43-4603-ABEE-433F1EC13893}"/>
              </c:ext>
            </c:extLst>
          </c:dPt>
          <c:dLbls>
            <c:dLbl>
              <c:idx val="0"/>
              <c:layout>
                <c:manualLayout>
                  <c:x val="-0.11463317158812682"/>
                  <c:y val="6.1023967010430807E-3"/>
                </c:manualLayout>
              </c:layout>
              <c:numFmt formatCode="0.0%" sourceLinked="0"/>
              <c:spPr>
                <a:noFill/>
                <a:ln w="25400">
                  <a:noFill/>
                </a:ln>
              </c:spPr>
              <c:txPr>
                <a:bodyPr/>
                <a:lstStyle/>
                <a:p>
                  <a:pPr>
                    <a:defRPr sz="1400" b="1" i="0" u="none" strike="noStrike" baseline="0">
                      <a:solidFill>
                        <a:srgbClr val="000000"/>
                      </a:solidFill>
                      <a:latin typeface="Calibri"/>
                      <a:ea typeface="Calibri"/>
                      <a:cs typeface="Calibri"/>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AE43-4603-ABEE-433F1EC13893}"/>
                </c:ext>
                <c:ext xmlns:c15="http://schemas.microsoft.com/office/drawing/2012/chart" uri="{CE6537A1-D6FC-4f65-9D91-7224C49458BB}">
                  <c15:layout/>
                </c:ext>
              </c:extLst>
            </c:dLbl>
            <c:dLbl>
              <c:idx val="2"/>
              <c:layout>
                <c:manualLayout>
                  <c:x val="2.2087421609257214E-2"/>
                  <c:y val="2.1414170969200157E-2"/>
                </c:manualLayout>
              </c:layout>
              <c:numFmt formatCode="0.0%" sourceLinked="0"/>
              <c:spPr>
                <a:noFill/>
                <a:ln w="25400">
                  <a:noFill/>
                </a:ln>
              </c:spPr>
              <c:txPr>
                <a:bodyPr/>
                <a:lstStyle/>
                <a:p>
                  <a:pPr>
                    <a:defRPr sz="1400" b="1" i="0" u="none" strike="noStrike" baseline="0">
                      <a:solidFill>
                        <a:srgbClr val="000000"/>
                      </a:solidFill>
                      <a:latin typeface="Calibri"/>
                      <a:ea typeface="Calibri"/>
                      <a:cs typeface="Calibri"/>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AE43-4603-ABEE-433F1EC13893}"/>
                </c:ext>
                <c:ext xmlns:c15="http://schemas.microsoft.com/office/drawing/2012/chart" uri="{CE6537A1-D6FC-4f65-9D91-7224C49458BB}">
                  <c15:layout/>
                </c:ext>
              </c:extLst>
            </c:dLbl>
            <c:dLbl>
              <c:idx val="3"/>
              <c:layout>
                <c:manualLayout>
                  <c:x val="3.6677421053027397E-2"/>
                  <c:y val="-8.3811385645759795E-2"/>
                </c:manualLayout>
              </c:layout>
              <c:numFmt formatCode="0.0%" sourceLinked="0"/>
              <c:spPr>
                <a:noFill/>
                <a:ln w="25400">
                  <a:noFill/>
                </a:ln>
              </c:spPr>
              <c:txPr>
                <a:bodyPr/>
                <a:lstStyle/>
                <a:p>
                  <a:pPr>
                    <a:defRPr sz="1400" b="1" i="0" u="none" strike="noStrike" baseline="0">
                      <a:solidFill>
                        <a:srgbClr val="000000"/>
                      </a:solidFill>
                      <a:latin typeface="Calibri"/>
                      <a:ea typeface="Calibri"/>
                      <a:cs typeface="Calibri"/>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AE43-4603-ABEE-433F1EC13893}"/>
                </c:ext>
                <c:ext xmlns:c15="http://schemas.microsoft.com/office/drawing/2012/chart" uri="{CE6537A1-D6FC-4f65-9D91-7224C49458BB}">
                  <c15:layout/>
                </c:ext>
              </c:extLst>
            </c:dLbl>
            <c:dLbl>
              <c:idx val="4"/>
              <c:layout>
                <c:manualLayout>
                  <c:x val="2.6910031661515092E-3"/>
                  <c:y val="-1.5381180800676901E-3"/>
                </c:manualLayout>
              </c:layout>
              <c:numFmt formatCode="0.0%" sourceLinked="0"/>
              <c:spPr>
                <a:noFill/>
                <a:ln w="25400">
                  <a:noFill/>
                </a:ln>
              </c:spPr>
              <c:txPr>
                <a:bodyPr/>
                <a:lstStyle/>
                <a:p>
                  <a:pPr>
                    <a:defRPr sz="1400" b="1" i="0" u="none" strike="noStrike" baseline="0">
                      <a:solidFill>
                        <a:srgbClr val="000000"/>
                      </a:solidFill>
                      <a:latin typeface="Calibri"/>
                      <a:ea typeface="Calibri"/>
                      <a:cs typeface="Calibri"/>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AE43-4603-ABEE-433F1EC13893}"/>
                </c:ext>
                <c:ext xmlns:c15="http://schemas.microsoft.com/office/drawing/2012/chart" uri="{CE6537A1-D6FC-4f65-9D91-7224C49458BB}">
                  <c15:layout/>
                </c:ext>
              </c:extLst>
            </c:dLbl>
            <c:dLbl>
              <c:idx val="5"/>
              <c:layout>
                <c:manualLayout>
                  <c:x val="-3.3993637614782392E-2"/>
                  <c:y val="-1.0908981204946829E-4"/>
                </c:manualLayout>
              </c:layout>
              <c:numFmt formatCode="0.0%" sourceLinked="0"/>
              <c:spPr>
                <a:noFill/>
                <a:ln w="25400">
                  <a:noFill/>
                </a:ln>
              </c:spPr>
              <c:txPr>
                <a:bodyPr/>
                <a:lstStyle/>
                <a:p>
                  <a:pPr>
                    <a:defRPr sz="1400" b="1" i="0" u="none" strike="noStrike" baseline="0">
                      <a:solidFill>
                        <a:srgbClr val="000000"/>
                      </a:solidFill>
                      <a:latin typeface="Calibri"/>
                      <a:ea typeface="Calibri"/>
                      <a:cs typeface="Calibri"/>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AE43-4603-ABEE-433F1EC13893}"/>
                </c:ext>
                <c:ext xmlns:c15="http://schemas.microsoft.com/office/drawing/2012/chart" uri="{CE6537A1-D6FC-4f65-9D91-7224C49458BB}">
                  <c15:layout/>
                </c:ext>
              </c:extLst>
            </c:dLbl>
            <c:dLbl>
              <c:idx val="6"/>
              <c:layout>
                <c:manualLayout>
                  <c:x val="-0.17576236023537162"/>
                  <c:y val="-2.0681073238408391E-3"/>
                </c:manualLayout>
              </c:layout>
              <c:numFmt formatCode="0.0%" sourceLinked="0"/>
              <c:spPr>
                <a:noFill/>
                <a:ln w="25400">
                  <a:noFill/>
                </a:ln>
              </c:spPr>
              <c:txPr>
                <a:bodyPr/>
                <a:lstStyle/>
                <a:p>
                  <a:pPr>
                    <a:defRPr sz="1400" b="1" i="0" u="none" strike="noStrike" baseline="0">
                      <a:solidFill>
                        <a:srgbClr val="000000"/>
                      </a:solidFill>
                      <a:latin typeface="Calibri"/>
                      <a:ea typeface="Calibri"/>
                      <a:cs typeface="Calibri"/>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D-AE43-4603-ABEE-433F1EC13893}"/>
                </c:ext>
                <c:ext xmlns:c15="http://schemas.microsoft.com/office/drawing/2012/chart" uri="{CE6537A1-D6FC-4f65-9D91-7224C49458BB}">
                  <c15:layout/>
                </c:ext>
              </c:extLst>
            </c:dLbl>
            <c:dLbl>
              <c:idx val="7"/>
              <c:layout>
                <c:manualLayout>
                  <c:x val="0.17448420308492957"/>
                  <c:y val="-0.11789760762663287"/>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F-AE43-4603-ABEE-433F1EC13893}"/>
                </c:ext>
                <c:ext xmlns:c15="http://schemas.microsoft.com/office/drawing/2012/chart" uri="{CE6537A1-D6FC-4f65-9D91-7224C49458BB}">
                  <c15:layout/>
                </c:ext>
              </c:extLst>
            </c:dLbl>
            <c:dLbl>
              <c:idx val="8"/>
              <c:layout>
                <c:manualLayout>
                  <c:x val="-6.4760586701841982E-2"/>
                  <c:y val="9.3062075941053677E-3"/>
                </c:manualLayout>
              </c:layout>
              <c:numFmt formatCode="0.0%" sourceLinked="0"/>
              <c:spPr>
                <a:noFill/>
                <a:ln w="25400">
                  <a:noFill/>
                </a:ln>
              </c:spPr>
              <c:txPr>
                <a:bodyPr/>
                <a:lstStyle/>
                <a:p>
                  <a:pPr>
                    <a:defRPr sz="1400" b="1" i="0" u="none" strike="noStrike" baseline="0">
                      <a:solidFill>
                        <a:srgbClr val="000000"/>
                      </a:solidFill>
                      <a:latin typeface="Calibri"/>
                      <a:ea typeface="Calibri"/>
                      <a:cs typeface="Calibri"/>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1-AE43-4603-ABEE-433F1EC13893}"/>
                </c:ext>
                <c:ext xmlns:c15="http://schemas.microsoft.com/office/drawing/2012/chart" uri="{CE6537A1-D6FC-4f65-9D91-7224C49458BB}">
                  <c15:layout/>
                </c:ext>
              </c:extLst>
            </c:dLbl>
            <c:numFmt formatCode="0.0%" sourceLinked="0"/>
            <c:spPr>
              <a:noFill/>
              <a:ln w="25400">
                <a:noFill/>
              </a:ln>
            </c:spPr>
            <c:txPr>
              <a:bodyPr wrap="square" lIns="38100" tIns="19050" rIns="38100" bIns="19050" anchor="ctr">
                <a:spAutoFit/>
              </a:bodyPr>
              <a:lstStyle/>
              <a:p>
                <a:pPr>
                  <a:defRPr sz="1400" b="1" i="0" u="none" strike="noStrike" baseline="0">
                    <a:solidFill>
                      <a:srgbClr val="000000"/>
                    </a:solidFill>
                    <a:latin typeface="Calibri"/>
                    <a:ea typeface="Calibri"/>
                    <a:cs typeface="Calibri"/>
                  </a:defRPr>
                </a:pPr>
                <a:endParaRPr lang="lv-LV"/>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Dati!$B$19:$J$19</c:f>
              <c:strCache>
                <c:ptCount val="9"/>
                <c:pt idx="0">
                  <c:v>Vispārējie valdības dienesti </c:v>
                </c:pt>
                <c:pt idx="1">
                  <c:v>Sabiedriskā kārtība un drošība</c:v>
                </c:pt>
                <c:pt idx="2">
                  <c:v>Ekonomiskā darbība</c:v>
                </c:pt>
                <c:pt idx="3">
                  <c:v>Vides aizsardzība</c:v>
                </c:pt>
                <c:pt idx="4">
                  <c:v>Pašvaldības teritorijas un mājokļu apsaimn.</c:v>
                </c:pt>
                <c:pt idx="5">
                  <c:v>Veselība</c:v>
                </c:pt>
                <c:pt idx="6">
                  <c:v>Atpūta, kultūra un reliģija</c:v>
                </c:pt>
                <c:pt idx="7">
                  <c:v>Izglītība</c:v>
                </c:pt>
                <c:pt idx="8">
                  <c:v>Sociālā aizsardzība</c:v>
                </c:pt>
              </c:strCache>
            </c:strRef>
          </c:cat>
          <c:val>
            <c:numRef>
              <c:f>Dati!$B$20:$J$20</c:f>
              <c:numCache>
                <c:formatCode>#,##0</c:formatCode>
                <c:ptCount val="9"/>
                <c:pt idx="0">
                  <c:v>8537227</c:v>
                </c:pt>
                <c:pt idx="1">
                  <c:v>1433913</c:v>
                </c:pt>
                <c:pt idx="2">
                  <c:v>16658954</c:v>
                </c:pt>
                <c:pt idx="3">
                  <c:v>6930173</c:v>
                </c:pt>
                <c:pt idx="4">
                  <c:v>13609323</c:v>
                </c:pt>
                <c:pt idx="5">
                  <c:v>720168</c:v>
                </c:pt>
                <c:pt idx="6">
                  <c:v>7910084</c:v>
                </c:pt>
                <c:pt idx="7">
                  <c:v>48504414</c:v>
                </c:pt>
                <c:pt idx="8">
                  <c:v>8134955</c:v>
                </c:pt>
              </c:numCache>
            </c:numRef>
          </c:val>
          <c:extLst xmlns:c16r2="http://schemas.microsoft.com/office/drawing/2015/06/chart">
            <c:ext xmlns:c16="http://schemas.microsoft.com/office/drawing/2014/chart" uri="{C3380CC4-5D6E-409C-BE32-E72D297353CC}">
              <c16:uniqueId val="{00000012-AE43-4603-ABEE-433F1EC13893}"/>
            </c:ext>
          </c:extLst>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spPr>
    <a:gradFill>
      <a:gsLst>
        <a:gs pos="100000">
          <a:schemeClr val="accent3">
            <a:lumMod val="60000"/>
            <a:lumOff val="40000"/>
          </a:schemeClr>
        </a:gs>
        <a:gs pos="17000">
          <a:schemeClr val="accent3">
            <a:lumMod val="75000"/>
          </a:schemeClr>
        </a:gs>
        <a:gs pos="100000">
          <a:schemeClr val="accent1">
            <a:lumMod val="45000"/>
            <a:lumOff val="55000"/>
          </a:schemeClr>
        </a:gs>
        <a:gs pos="100000">
          <a:schemeClr val="accent1">
            <a:lumMod val="20000"/>
            <a:lumOff val="80000"/>
          </a:schemeClr>
        </a:gs>
        <a:gs pos="52000">
          <a:srgbClr val="FFFF00"/>
        </a:gs>
        <a:gs pos="100000">
          <a:schemeClr val="accent3">
            <a:lumMod val="75000"/>
          </a:schemeClr>
        </a:gs>
        <a:gs pos="72000">
          <a:schemeClr val="accent1">
            <a:lumMod val="30000"/>
            <a:lumOff val="70000"/>
          </a:schemeClr>
        </a:gs>
      </a:gsLst>
      <a:lin ang="8100000" scaled="1"/>
    </a:gra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500" b="1" i="0" u="none" strike="noStrike" kern="1200" spc="0" baseline="0">
                <a:solidFill>
                  <a:schemeClr val="tx1">
                    <a:lumMod val="65000"/>
                    <a:lumOff val="35000"/>
                  </a:schemeClr>
                </a:solidFill>
                <a:latin typeface="+mn-lt"/>
                <a:ea typeface="+mn-ea"/>
                <a:cs typeface="+mn-cs"/>
              </a:defRPr>
            </a:pPr>
            <a:r>
              <a:rPr lang="en-US" sz="1500" b="1">
                <a:solidFill>
                  <a:sysClr val="windowText" lastClr="000000"/>
                </a:solidFill>
              </a:rPr>
              <a:t>Ogres novada pašvaldības 2021. gada pamatbudžeta  izdevumi atbilstoši ekonomiskajām kategorijām</a:t>
            </a:r>
            <a:r>
              <a:rPr lang="lv-LV" sz="1500" b="1">
                <a:solidFill>
                  <a:sysClr val="windowText" lastClr="000000"/>
                </a:solidFill>
              </a:rPr>
              <a:t> (EUR)</a:t>
            </a:r>
            <a:r>
              <a:rPr lang="en-US" sz="1500" b="1">
                <a:solidFill>
                  <a:sysClr val="windowText" lastClr="000000"/>
                </a:solidFill>
              </a:rPr>
              <a:t>.</a:t>
            </a:r>
          </a:p>
        </c:rich>
      </c:tx>
      <c:layout>
        <c:manualLayout>
          <c:xMode val="edge"/>
          <c:yMode val="edge"/>
          <c:x val="9.9972483044955068E-2"/>
          <c:y val="0"/>
        </c:manualLayout>
      </c:layout>
      <c:overlay val="0"/>
      <c:spPr>
        <a:noFill/>
        <a:ln w="25400">
          <a:noFill/>
        </a:ln>
      </c:spPr>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0.1363170855985632"/>
          <c:y val="0.16394274585896926"/>
          <c:w val="0.61600236802061081"/>
          <c:h val="0.53615371352022889"/>
        </c:manualLayout>
      </c:layout>
      <c:pie3DChart>
        <c:varyColors val="1"/>
        <c:ser>
          <c:idx val="0"/>
          <c:order val="0"/>
          <c:explosion val="9"/>
          <c:dPt>
            <c:idx val="0"/>
            <c:bubble3D val="0"/>
            <c:spPr>
              <a:solidFill>
                <a:srgbClr val="FFC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6BB1-4502-B806-EA02EDCB8AD3}"/>
              </c:ext>
            </c:extLst>
          </c:dPt>
          <c:dPt>
            <c:idx val="1"/>
            <c:bubble3D val="0"/>
            <c:spPr>
              <a:solidFill>
                <a:srgbClr val="FF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6BB1-4502-B806-EA02EDCB8AD3}"/>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6BB1-4502-B806-EA02EDCB8AD3}"/>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6BB1-4502-B806-EA02EDCB8AD3}"/>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6BB1-4502-B806-EA02EDCB8AD3}"/>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6BB1-4502-B806-EA02EDCB8AD3}"/>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6BB1-4502-B806-EA02EDCB8AD3}"/>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6BB1-4502-B806-EA02EDCB8AD3}"/>
              </c:ext>
            </c:extLst>
          </c:dPt>
          <c:dPt>
            <c:idx val="8"/>
            <c:bubble3D val="0"/>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1-6BB1-4502-B806-EA02EDCB8AD3}"/>
              </c:ext>
            </c:extLst>
          </c:dPt>
          <c:dPt>
            <c:idx val="9"/>
            <c:bubble3D val="0"/>
            <c:spPr>
              <a:solidFill>
                <a:schemeClr val="accent6">
                  <a:lumMod val="60000"/>
                  <a:lumOff val="4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3-6BB1-4502-B806-EA02EDCB8AD3}"/>
              </c:ext>
            </c:extLst>
          </c:dPt>
          <c:dPt>
            <c:idx val="10"/>
            <c:bubble3D val="0"/>
            <c:spPr>
              <a:solidFill>
                <a:schemeClr val="accent5">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5-6BB1-4502-B806-EA02EDCB8AD3}"/>
              </c:ext>
            </c:extLst>
          </c:dPt>
          <c:dPt>
            <c:idx val="11"/>
            <c:bubble3D val="0"/>
            <c:explosion val="19"/>
            <c:spPr>
              <a:solidFill>
                <a:schemeClr val="accent6">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7-6BB1-4502-B806-EA02EDCB8AD3}"/>
              </c:ext>
            </c:extLst>
          </c:dPt>
          <c:dLbls>
            <c:dLbl>
              <c:idx val="0"/>
              <c:layout>
                <c:manualLayout>
                  <c:x val="-0.1840411209209587"/>
                  <c:y val="3.8601245871778662E-2"/>
                </c:manualLayout>
              </c:layout>
              <c:numFmt formatCode="#,##0" sourceLinked="0"/>
              <c:spPr>
                <a:noFill/>
                <a:ln w="25400">
                  <a:noFill/>
                </a:ln>
              </c:spPr>
              <c:txPr>
                <a:bodyPr rot="0" spcFirstLastPara="1" vertOverflow="ellipsis" vert="horz" wrap="square" lIns="38100" tIns="19050" rIns="38100" bIns="19050" anchor="ctr" anchorCtr="1">
                  <a:noAutofit/>
                </a:bodyPr>
                <a:lstStyle/>
                <a:p>
                  <a:pPr>
                    <a:defRPr sz="1200" b="1" i="0" u="none" strike="noStrike" kern="1200" baseline="0">
                      <a:solidFill>
                        <a:sysClr val="windowText" lastClr="000000"/>
                      </a:solidFill>
                      <a:latin typeface="+mn-lt"/>
                      <a:ea typeface="+mn-ea"/>
                      <a:cs typeface="+mn-cs"/>
                    </a:defRPr>
                  </a:pPr>
                  <a:endParaRPr lang="lv-LV"/>
                </a:p>
              </c:txPr>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6BB1-4502-B806-EA02EDCB8AD3}"/>
                </c:ext>
                <c:ext xmlns:c15="http://schemas.microsoft.com/office/drawing/2012/chart" uri="{CE6537A1-D6FC-4f65-9D91-7224C49458BB}">
                  <c15:layout>
                    <c:manualLayout>
                      <c:w val="0.14457060963510085"/>
                      <c:h val="0.12055688434790682"/>
                    </c:manualLayout>
                  </c15:layout>
                </c:ext>
              </c:extLst>
            </c:dLbl>
            <c:dLbl>
              <c:idx val="1"/>
              <c:layout>
                <c:manualLayout>
                  <c:x val="7.4473153623292238E-2"/>
                  <c:y val="2.038485626455154E-2"/>
                </c:manualLayout>
              </c:layout>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6BB1-4502-B806-EA02EDCB8AD3}"/>
                </c:ext>
                <c:ext xmlns:c15="http://schemas.microsoft.com/office/drawing/2012/chart" uri="{CE6537A1-D6FC-4f65-9D91-7224C49458BB}">
                  <c15:layout>
                    <c:manualLayout>
                      <c:w val="0.22121045088744351"/>
                      <c:h val="0.1729365524985963"/>
                    </c:manualLayout>
                  </c15:layout>
                </c:ext>
              </c:extLst>
            </c:dLbl>
            <c:dLbl>
              <c:idx val="2"/>
              <c:layout>
                <c:manualLayout>
                  <c:x val="-0.10236151029021273"/>
                  <c:y val="-0.14938935066488648"/>
                </c:manualLayout>
              </c:layout>
              <c:numFmt formatCode="#,##0" sourceLinked="0"/>
              <c:spPr>
                <a:noFill/>
                <a:ln w="25400">
                  <a:noFill/>
                </a:ln>
              </c:spPr>
              <c:txPr>
                <a:bodyPr rot="0" spcFirstLastPara="1" vertOverflow="ellipsis" vert="horz" wrap="square" lIns="38100" tIns="19050" rIns="38100" bIns="19050" anchor="ctr" anchorCtr="1">
                  <a:noAutofit/>
                </a:bodyPr>
                <a:lstStyle/>
                <a:p>
                  <a:pPr>
                    <a:defRPr sz="1200" b="1" i="0" u="none" strike="noStrike" kern="1200" baseline="0">
                      <a:solidFill>
                        <a:sysClr val="windowText" lastClr="000000"/>
                      </a:solidFill>
                      <a:latin typeface="+mn-lt"/>
                      <a:ea typeface="+mn-ea"/>
                      <a:cs typeface="+mn-cs"/>
                    </a:defRPr>
                  </a:pPr>
                  <a:endParaRPr lang="lv-LV"/>
                </a:p>
              </c:txPr>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5-6BB1-4502-B806-EA02EDCB8AD3}"/>
                </c:ext>
                <c:ext xmlns:c15="http://schemas.microsoft.com/office/drawing/2012/chart" uri="{CE6537A1-D6FC-4f65-9D91-7224C49458BB}">
                  <c15:spPr xmlns:c15="http://schemas.microsoft.com/office/drawing/2012/chart">
                    <a:prstGeom prst="rect">
                      <a:avLst/>
                    </a:prstGeom>
                  </c15:spPr>
                  <c15:layout>
                    <c:manualLayout>
                      <c:w val="0.16642428019725403"/>
                      <c:h val="0.11707070799232368"/>
                    </c:manualLayout>
                  </c15:layout>
                </c:ext>
              </c:extLst>
            </c:dLbl>
            <c:dLbl>
              <c:idx val="3"/>
              <c:layout>
                <c:manualLayout>
                  <c:x val="0.28345779619571576"/>
                  <c:y val="3.327717001771071E-2"/>
                </c:manualLayout>
              </c:layout>
              <c:tx>
                <c:rich>
                  <a:bodyPr rot="0" spcFirstLastPara="1" vertOverflow="ellipsis" vert="horz" wrap="square" lIns="38100" tIns="19050" rIns="38100" bIns="19050" anchor="ctr" anchorCtr="1">
                    <a:noAutofit/>
                  </a:bodyPr>
                  <a:lstStyle/>
                  <a:p>
                    <a:pPr>
                      <a:defRPr sz="1200" b="1" i="0" u="none" strike="noStrike" kern="1200" baseline="0">
                        <a:solidFill>
                          <a:sysClr val="windowText" lastClr="000000"/>
                        </a:solidFill>
                        <a:latin typeface="+mn-lt"/>
                        <a:ea typeface="+mn-ea"/>
                        <a:cs typeface="+mn-cs"/>
                      </a:defRPr>
                    </a:pPr>
                    <a:r>
                      <a:rPr lang="en-US"/>
                      <a:t>Materiāli,energoresursi; </a:t>
                    </a:r>
                  </a:p>
                  <a:p>
                    <a:pPr>
                      <a:defRPr sz="1200" b="1" i="0" u="none" strike="noStrike" kern="1200" baseline="0">
                        <a:solidFill>
                          <a:sysClr val="windowText" lastClr="000000"/>
                        </a:solidFill>
                        <a:latin typeface="+mn-lt"/>
                        <a:ea typeface="+mn-ea"/>
                        <a:cs typeface="+mn-cs"/>
                      </a:defRPr>
                    </a:pPr>
                    <a:r>
                      <a:rPr lang="en-US"/>
                      <a:t>4 926 310</a:t>
                    </a:r>
                    <a:endParaRPr lang="en-US" baseline="0"/>
                  </a:p>
                </c:rich>
              </c:tx>
              <c:numFmt formatCode="#,##0" sourceLinked="0"/>
              <c:spPr>
                <a:noFill/>
                <a:ln w="25400">
                  <a:noFill/>
                </a:ln>
              </c:spPr>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7-6BB1-4502-B806-EA02EDCB8AD3}"/>
                </c:ext>
                <c:ext xmlns:c15="http://schemas.microsoft.com/office/drawing/2012/chart" uri="{CE6537A1-D6FC-4f65-9D91-7224C49458BB}">
                  <c15:layout>
                    <c:manualLayout>
                      <c:w val="0.20456330071518042"/>
                      <c:h val="0.150521913284141"/>
                    </c:manualLayout>
                  </c15:layout>
                </c:ext>
              </c:extLst>
            </c:dLbl>
            <c:dLbl>
              <c:idx val="4"/>
              <c:layout>
                <c:manualLayout>
                  <c:x val="0.2333783268823289"/>
                  <c:y val="0.18753356873264548"/>
                </c:manualLayout>
              </c:layout>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9-6BB1-4502-B806-EA02EDCB8AD3}"/>
                </c:ext>
                <c:ext xmlns:c15="http://schemas.microsoft.com/office/drawing/2012/chart" uri="{CE6537A1-D6FC-4f65-9D91-7224C49458BB}">
                  <c15:layout/>
                </c:ext>
              </c:extLst>
            </c:dLbl>
            <c:dLbl>
              <c:idx val="5"/>
              <c:layout>
                <c:manualLayout>
                  <c:x val="6.5940867192064004E-2"/>
                  <c:y val="3.2484496795953811E-2"/>
                </c:manualLayout>
              </c:layout>
              <c:tx>
                <c:rich>
                  <a:bodyPr rot="0" spcFirstLastPara="1" vertOverflow="ellipsis" vert="horz" wrap="square" lIns="38100" tIns="19050" rIns="38100" bIns="19050" anchor="ctr" anchorCtr="1">
                    <a:noAutofit/>
                  </a:bodyPr>
                  <a:lstStyle/>
                  <a:p>
                    <a:pPr>
                      <a:defRPr sz="1200" b="1" i="0" u="none" strike="noStrike" kern="1200" baseline="0">
                        <a:solidFill>
                          <a:sysClr val="windowText" lastClr="000000"/>
                        </a:solidFill>
                        <a:latin typeface="+mn-lt"/>
                        <a:ea typeface="+mn-ea"/>
                        <a:cs typeface="+mn-cs"/>
                      </a:defRPr>
                    </a:pPr>
                    <a:fld id="{90AACE6F-9FBC-4333-A291-25A3075F8FDE}" type="CATEGORYNAME">
                      <a:rPr lang="lv-LV"/>
                      <a:pPr>
                        <a:defRPr sz="1200" b="1" i="0" u="none" strike="noStrike" kern="1200" baseline="0">
                          <a:solidFill>
                            <a:sysClr val="windowText" lastClr="000000"/>
                          </a:solidFill>
                          <a:latin typeface="+mn-lt"/>
                          <a:ea typeface="+mn-ea"/>
                          <a:cs typeface="+mn-cs"/>
                        </a:defRPr>
                      </a:pPr>
                      <a:t>[KATEGORIJAS NOSAUKUMS]</a:t>
                    </a:fld>
                    <a:r>
                      <a:rPr lang="lv-LV" baseline="0"/>
                      <a:t>; </a:t>
                    </a:r>
                  </a:p>
                  <a:p>
                    <a:pPr>
                      <a:defRPr sz="1200" b="1" i="0" u="none" strike="noStrike" kern="1200" baseline="0">
                        <a:solidFill>
                          <a:sysClr val="windowText" lastClr="000000"/>
                        </a:solidFill>
                        <a:latin typeface="+mn-lt"/>
                        <a:ea typeface="+mn-ea"/>
                        <a:cs typeface="+mn-cs"/>
                      </a:defRPr>
                    </a:pPr>
                    <a:fld id="{82F76DD8-4E4F-4447-8F35-BE592D9A867D}" type="VALUE">
                      <a:rPr lang="lv-LV" baseline="0"/>
                      <a:pPr>
                        <a:defRPr sz="1200" b="1" i="0" u="none" strike="noStrike" kern="1200" baseline="0">
                          <a:solidFill>
                            <a:sysClr val="windowText" lastClr="000000"/>
                          </a:solidFill>
                          <a:latin typeface="+mn-lt"/>
                          <a:ea typeface="+mn-ea"/>
                          <a:cs typeface="+mn-cs"/>
                        </a:defRPr>
                      </a:pPr>
                      <a:t>[VĒRTĪBA]</a:t>
                    </a:fld>
                    <a:endParaRPr lang="lv-LV"/>
                  </a:p>
                </c:rich>
              </c:tx>
              <c:numFmt formatCode="#,##0" sourceLinked="0"/>
              <c:spPr>
                <a:noFill/>
                <a:ln w="25400">
                  <a:noFill/>
                </a:ln>
              </c:spPr>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B-6BB1-4502-B806-EA02EDCB8AD3}"/>
                </c:ext>
                <c:ext xmlns:c15="http://schemas.microsoft.com/office/drawing/2012/chart" uri="{CE6537A1-D6FC-4f65-9D91-7224C49458BB}">
                  <c15:spPr xmlns:c15="http://schemas.microsoft.com/office/drawing/2012/chart">
                    <a:prstGeom prst="rect">
                      <a:avLst/>
                    </a:prstGeom>
                  </c15:spPr>
                  <c15:layout/>
                  <c15:dlblFieldTable/>
                  <c15:showDataLabelsRange val="0"/>
                </c:ext>
              </c:extLst>
            </c:dLbl>
            <c:dLbl>
              <c:idx val="6"/>
              <c:layout>
                <c:manualLayout>
                  <c:x val="-6.7735805982029773E-2"/>
                  <c:y val="0.1668776076674364"/>
                </c:manualLayout>
              </c:layout>
              <c:numFmt formatCode="#,##0" sourceLinked="0"/>
              <c:spPr>
                <a:noFill/>
                <a:ln w="25400">
                  <a:noFill/>
                </a:ln>
              </c:spPr>
              <c:txPr>
                <a:bodyPr rot="0" spcFirstLastPara="1" vertOverflow="ellipsis" vert="horz" wrap="square" lIns="38100" tIns="19050" rIns="38100" bIns="19050" anchor="ctr" anchorCtr="1">
                  <a:noAutofit/>
                </a:bodyPr>
                <a:lstStyle/>
                <a:p>
                  <a:pPr>
                    <a:defRPr sz="1200" b="1" i="0" u="none" strike="noStrike" kern="1200" baseline="0">
                      <a:solidFill>
                        <a:sysClr val="windowText" lastClr="000000"/>
                      </a:solidFill>
                      <a:latin typeface="+mn-lt"/>
                      <a:ea typeface="+mn-ea"/>
                      <a:cs typeface="+mn-cs"/>
                    </a:defRPr>
                  </a:pPr>
                  <a:endParaRPr lang="lv-LV"/>
                </a:p>
              </c:txPr>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D-6BB1-4502-B806-EA02EDCB8AD3}"/>
                </c:ext>
                <c:ext xmlns:c15="http://schemas.microsoft.com/office/drawing/2012/chart" uri="{CE6537A1-D6FC-4f65-9D91-7224C49458BB}">
                  <c15:layout>
                    <c:manualLayout>
                      <c:w val="0.21264321620253868"/>
                      <c:h val="0.23918942345416552"/>
                    </c:manualLayout>
                  </c15:layout>
                </c:ext>
              </c:extLst>
            </c:dLbl>
            <c:dLbl>
              <c:idx val="7"/>
              <c:layout>
                <c:manualLayout>
                  <c:x val="-5.7871194609107328E-2"/>
                  <c:y val="3.2916126921529537E-2"/>
                </c:manualLayout>
              </c:layout>
              <c:tx>
                <c:rich>
                  <a:bodyPr rot="0" spcFirstLastPara="1" vertOverflow="ellipsis" vert="horz" wrap="square" lIns="38100" tIns="19050" rIns="38100" bIns="19050" anchor="ctr" anchorCtr="1">
                    <a:noAutofit/>
                  </a:bodyPr>
                  <a:lstStyle/>
                  <a:p>
                    <a:pPr>
                      <a:defRPr sz="1200" b="1" i="0" u="none" strike="noStrike" kern="1200" baseline="0">
                        <a:solidFill>
                          <a:sysClr val="windowText" lastClr="000000"/>
                        </a:solidFill>
                        <a:latin typeface="+mn-lt"/>
                        <a:ea typeface="+mn-ea"/>
                        <a:cs typeface="+mn-cs"/>
                      </a:defRPr>
                    </a:pPr>
                    <a:fld id="{E236E84D-455F-4864-8E58-CEBDFE426FCF}" type="CATEGORYNAME">
                      <a:rPr lang="en-US"/>
                      <a:pPr>
                        <a:defRPr sz="1200" b="1" i="0" u="none" strike="noStrike" kern="1200" baseline="0">
                          <a:solidFill>
                            <a:sysClr val="windowText" lastClr="000000"/>
                          </a:solidFill>
                          <a:latin typeface="+mn-lt"/>
                          <a:ea typeface="+mn-ea"/>
                          <a:cs typeface="+mn-cs"/>
                        </a:defRPr>
                      </a:pPr>
                      <a:t>[KATEGORIJAS NOSAUKUMS]</a:t>
                    </a:fld>
                    <a:r>
                      <a:rPr lang="en-US" baseline="0"/>
                      <a:t>; </a:t>
                    </a:r>
                  </a:p>
                  <a:p>
                    <a:pPr>
                      <a:defRPr sz="1200" b="1" i="0" u="none" strike="noStrike" kern="1200" baseline="0">
                        <a:solidFill>
                          <a:sysClr val="windowText" lastClr="000000"/>
                        </a:solidFill>
                        <a:latin typeface="+mn-lt"/>
                        <a:ea typeface="+mn-ea"/>
                        <a:cs typeface="+mn-cs"/>
                      </a:defRPr>
                    </a:pPr>
                    <a:fld id="{6488C99E-09E4-4039-A2DD-A2309675B7CD}" type="VALUE">
                      <a:rPr lang="en-US" baseline="0"/>
                      <a:pPr>
                        <a:defRPr sz="1200" b="1" i="0" u="none" strike="noStrike" kern="1200" baseline="0">
                          <a:solidFill>
                            <a:sysClr val="windowText" lastClr="000000"/>
                          </a:solidFill>
                          <a:latin typeface="+mn-lt"/>
                          <a:ea typeface="+mn-ea"/>
                          <a:cs typeface="+mn-cs"/>
                        </a:defRPr>
                      </a:pPr>
                      <a:t>[VĒRTĪBA]</a:t>
                    </a:fld>
                    <a:endParaRPr lang="lv-LV"/>
                  </a:p>
                </c:rich>
              </c:tx>
              <c:numFmt formatCode="#,##0" sourceLinked="0"/>
              <c:spPr>
                <a:noFill/>
                <a:ln w="25400">
                  <a:noFill/>
                </a:ln>
              </c:spPr>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F-6BB1-4502-B806-EA02EDCB8AD3}"/>
                </c:ext>
                <c:ext xmlns:c15="http://schemas.microsoft.com/office/drawing/2012/chart" uri="{CE6537A1-D6FC-4f65-9D91-7224C49458BB}">
                  <c15:layout>
                    <c:manualLayout>
                      <c:w val="0.19807745892638737"/>
                      <c:h val="0.13222886372780046"/>
                    </c:manualLayout>
                  </c15:layout>
                  <c15:dlblFieldTable/>
                  <c15:showDataLabelsRange val="0"/>
                </c:ext>
              </c:extLst>
            </c:dLbl>
            <c:dLbl>
              <c:idx val="8"/>
              <c:layout>
                <c:manualLayout>
                  <c:x val="-9.5171165008849701E-2"/>
                  <c:y val="-0.11032862189250488"/>
                </c:manualLayout>
              </c:layout>
              <c:tx>
                <c:rich>
                  <a:bodyPr/>
                  <a:lstStyle/>
                  <a:p>
                    <a:fld id="{BB99F96C-B347-436C-8945-41999B477CAE}" type="CATEGORYNAME">
                      <a:rPr lang="en-US"/>
                      <a:pPr/>
                      <a:t>[KATEGORIJAS NOSAUKUMS]</a:t>
                    </a:fld>
                    <a:r>
                      <a:rPr lang="en-US" baseline="0"/>
                      <a:t>; </a:t>
                    </a:r>
                  </a:p>
                  <a:p>
                    <a:fld id="{8D832B06-3F32-4F1C-A330-C96572FE428A}" type="VALUE">
                      <a:rPr lang="en-US" baseline="0"/>
                      <a:pPr/>
                      <a:t>[VĒRTĪBA]</a:t>
                    </a:fld>
                    <a:endParaRPr lang="lv-LV"/>
                  </a:p>
                </c:rich>
              </c:tx>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1-6BB1-4502-B806-EA02EDCB8AD3}"/>
                </c:ext>
                <c:ext xmlns:c15="http://schemas.microsoft.com/office/drawing/2012/chart" uri="{CE6537A1-D6FC-4f65-9D91-7224C49458BB}">
                  <c15:layout/>
                  <c15:dlblFieldTable/>
                  <c15:showDataLabelsRange val="0"/>
                </c:ext>
              </c:extLst>
            </c:dLbl>
            <c:dLbl>
              <c:idx val="9"/>
              <c:layout>
                <c:manualLayout>
                  <c:x val="0.19709356072980147"/>
                  <c:y val="1.5854165770262323E-2"/>
                </c:manualLayout>
              </c:layout>
              <c:tx>
                <c:rich>
                  <a:bodyPr/>
                  <a:lstStyle/>
                  <a:p>
                    <a:fld id="{EBDC67B9-6604-48F8-97CE-67A69163335A}" type="CATEGORYNAME">
                      <a:rPr lang="lv-LV"/>
                      <a:pPr/>
                      <a:t>[KATEGORIJAS NOSAUKUMS]</a:t>
                    </a:fld>
                    <a:r>
                      <a:rPr lang="lv-LV" baseline="0"/>
                      <a:t>; </a:t>
                    </a:r>
                  </a:p>
                  <a:p>
                    <a:fld id="{23487553-D098-46F4-9C2D-CAB9643AF7E0}" type="VALUE">
                      <a:rPr lang="lv-LV" baseline="0"/>
                      <a:pPr/>
                      <a:t>[VĒRTĪBA]</a:t>
                    </a:fld>
                    <a:endParaRPr lang="lv-LV"/>
                  </a:p>
                </c:rich>
              </c:tx>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3-6BB1-4502-B806-EA02EDCB8AD3}"/>
                </c:ext>
                <c:ext xmlns:c15="http://schemas.microsoft.com/office/drawing/2012/chart" uri="{CE6537A1-D6FC-4f65-9D91-7224C49458BB}">
                  <c15:layout/>
                  <c15:dlblFieldTable/>
                  <c15:showDataLabelsRange val="0"/>
                </c:ext>
              </c:extLst>
            </c:dLbl>
            <c:dLbl>
              <c:idx val="10"/>
              <c:layout>
                <c:manualLayout>
                  <c:x val="8.2336286375429696E-3"/>
                  <c:y val="-2.9743327160702777E-2"/>
                </c:manualLayout>
              </c:layout>
              <c:numFmt formatCode="#,##0" sourceLinked="0"/>
              <c:spPr>
                <a:noFill/>
                <a:ln w="25400">
                  <a:noFill/>
                </a:ln>
              </c:spPr>
              <c:txPr>
                <a:bodyPr rot="0" spcFirstLastPara="1" vertOverflow="ellipsis" vert="horz" wrap="square" lIns="38100" tIns="19050" rIns="38100" bIns="19050" anchor="ctr" anchorCtr="1">
                  <a:noAutofit/>
                </a:bodyPr>
                <a:lstStyle/>
                <a:p>
                  <a:pPr>
                    <a:defRPr sz="1200" b="1" i="0" u="none" strike="noStrike" kern="1200" baseline="0">
                      <a:solidFill>
                        <a:sysClr val="windowText" lastClr="000000"/>
                      </a:solidFill>
                      <a:latin typeface="+mn-lt"/>
                      <a:ea typeface="+mn-ea"/>
                      <a:cs typeface="+mn-cs"/>
                    </a:defRPr>
                  </a:pPr>
                  <a:endParaRPr lang="lv-LV"/>
                </a:p>
              </c:txPr>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5-6BB1-4502-B806-EA02EDCB8AD3}"/>
                </c:ext>
                <c:ext xmlns:c15="http://schemas.microsoft.com/office/drawing/2012/chart" uri="{CE6537A1-D6FC-4f65-9D91-7224C49458BB}">
                  <c15:spPr xmlns:c15="http://schemas.microsoft.com/office/drawing/2012/chart">
                    <a:prstGeom prst="rect">
                      <a:avLst/>
                    </a:prstGeom>
                  </c15:spPr>
                  <c15:layout>
                    <c:manualLayout>
                      <c:w val="0.22012227250118704"/>
                      <c:h val="0.11494206121483551"/>
                    </c:manualLayout>
                  </c15:layout>
                </c:ext>
              </c:extLst>
            </c:dLbl>
            <c:dLbl>
              <c:idx val="11"/>
              <c:layout>
                <c:manualLayout>
                  <c:x val="0.17630074840488899"/>
                  <c:y val="3.5363699336968021E-2"/>
                </c:manualLayout>
              </c:layout>
              <c:tx>
                <c:rich>
                  <a:bodyPr rot="0" spcFirstLastPara="1" vertOverflow="ellipsis" vert="horz" wrap="square" lIns="38100" tIns="19050" rIns="38100" bIns="19050" anchor="ctr" anchorCtr="1">
                    <a:noAutofit/>
                  </a:bodyPr>
                  <a:lstStyle/>
                  <a:p>
                    <a:pPr>
                      <a:defRPr sz="1200" b="1" i="0" u="none" strike="noStrike" kern="1200" baseline="0">
                        <a:solidFill>
                          <a:sysClr val="windowText" lastClr="000000"/>
                        </a:solidFill>
                        <a:latin typeface="+mn-lt"/>
                        <a:ea typeface="+mn-ea"/>
                        <a:cs typeface="+mn-cs"/>
                      </a:defRPr>
                    </a:pPr>
                    <a:fld id="{CF685021-53EB-4DC8-BE69-1DE3B2C5D552}" type="CATEGORYNAME">
                      <a:rPr lang="en-US"/>
                      <a:pPr>
                        <a:defRPr sz="1200" b="1" i="0" u="none" strike="noStrike" kern="1200" baseline="0">
                          <a:solidFill>
                            <a:sysClr val="windowText" lastClr="000000"/>
                          </a:solidFill>
                          <a:latin typeface="+mn-lt"/>
                          <a:ea typeface="+mn-ea"/>
                          <a:cs typeface="+mn-cs"/>
                        </a:defRPr>
                      </a:pPr>
                      <a:t>[KATEGORIJAS NOSAUKUMS]</a:t>
                    </a:fld>
                    <a:r>
                      <a:rPr lang="en-US" baseline="0"/>
                      <a:t>;</a:t>
                    </a:r>
                  </a:p>
                  <a:p>
                    <a:pPr>
                      <a:defRPr sz="1200" b="1" i="0" u="none" strike="noStrike" kern="1200" baseline="0">
                        <a:solidFill>
                          <a:sysClr val="windowText" lastClr="000000"/>
                        </a:solidFill>
                        <a:latin typeface="+mn-lt"/>
                        <a:ea typeface="+mn-ea"/>
                        <a:cs typeface="+mn-cs"/>
                      </a:defRPr>
                    </a:pPr>
                    <a:r>
                      <a:rPr lang="en-US" baseline="0"/>
                      <a:t> </a:t>
                    </a:r>
                    <a:fld id="{14ED3BCF-C7B4-4428-A7FD-070EA93D0AA4}" type="VALUE">
                      <a:rPr lang="en-US" baseline="0"/>
                      <a:pPr>
                        <a:defRPr sz="1200" b="1" i="0" u="none" strike="noStrike" kern="1200" baseline="0">
                          <a:solidFill>
                            <a:sysClr val="windowText" lastClr="000000"/>
                          </a:solidFill>
                          <a:latin typeface="+mn-lt"/>
                          <a:ea typeface="+mn-ea"/>
                          <a:cs typeface="+mn-cs"/>
                        </a:defRPr>
                      </a:pPr>
                      <a:t>[VĒRTĪBA]</a:t>
                    </a:fld>
                    <a:endParaRPr lang="en-US" baseline="0"/>
                  </a:p>
                </c:rich>
              </c:tx>
              <c:numFmt formatCode="#,##0" sourceLinked="0"/>
              <c:spPr>
                <a:noFill/>
                <a:ln w="25400">
                  <a:noFill/>
                </a:ln>
              </c:spPr>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7-6BB1-4502-B806-EA02EDCB8AD3}"/>
                </c:ext>
                <c:ext xmlns:c15="http://schemas.microsoft.com/office/drawing/2012/chart" uri="{CE6537A1-D6FC-4f65-9D91-7224C49458BB}">
                  <c15:layout>
                    <c:manualLayout>
                      <c:w val="0.27493674138489277"/>
                      <c:h val="0.16089850433490874"/>
                    </c:manualLayout>
                  </c15:layout>
                  <c15:dlblFieldTable/>
                  <c15:showDataLabelsRange val="0"/>
                </c:ext>
              </c:extLst>
            </c:dLbl>
            <c:numFmt formatCode="#,##0" sourceLinked="0"/>
            <c:spPr>
              <a:noFill/>
              <a:ln w="25400">
                <a:noFill/>
              </a:ln>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lv-LV"/>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Dati!$A$141:$A$152</c:f>
              <c:strCache>
                <c:ptCount val="12"/>
                <c:pt idx="0">
                  <c:v>Atlīdzība</c:v>
                </c:pt>
                <c:pt idx="1">
                  <c:v>Komandējumi, dienesta, darba braucieni</c:v>
                </c:pt>
                <c:pt idx="2">
                  <c:v>Pakalpojumi</c:v>
                </c:pt>
                <c:pt idx="3">
                  <c:v>Krājumi,materiāli,energoresursi un inventārs</c:v>
                </c:pt>
                <c:pt idx="4">
                  <c:v>Izdevumi periodikas iegādei</c:v>
                </c:pt>
                <c:pt idx="5">
                  <c:v>Budžeta iestāžu nodokļu maksājumi</c:v>
                </c:pt>
                <c:pt idx="6">
                  <c:v>Subsīdijas un dotācijas komersantiem, biedrībām un nodibinājumiem</c:v>
                </c:pt>
                <c:pt idx="7">
                  <c:v>Procentu maksājumi </c:v>
                </c:pt>
                <c:pt idx="8">
                  <c:v>Nemateriālie ieguldījumi</c:v>
                </c:pt>
                <c:pt idx="9">
                  <c:v>Pamatlīdzekļi un kapitālie izdevumi</c:v>
                </c:pt>
                <c:pt idx="10">
                  <c:v>Sociālie pabalsti </c:v>
                </c:pt>
                <c:pt idx="11">
                  <c:v>Pašvaldību uzturēšanas izdevumu transferti</c:v>
                </c:pt>
              </c:strCache>
            </c:strRef>
          </c:cat>
          <c:val>
            <c:numRef>
              <c:f>Dati!$C$141:$C$152</c:f>
              <c:numCache>
                <c:formatCode>#,##0</c:formatCode>
                <c:ptCount val="12"/>
                <c:pt idx="0">
                  <c:v>43240692</c:v>
                </c:pt>
                <c:pt idx="1">
                  <c:v>281577</c:v>
                </c:pt>
                <c:pt idx="2">
                  <c:v>14461327</c:v>
                </c:pt>
                <c:pt idx="3">
                  <c:v>4926310</c:v>
                </c:pt>
                <c:pt idx="4">
                  <c:v>27643</c:v>
                </c:pt>
                <c:pt idx="5">
                  <c:v>441514</c:v>
                </c:pt>
                <c:pt idx="6">
                  <c:v>4040146</c:v>
                </c:pt>
                <c:pt idx="7">
                  <c:v>120188</c:v>
                </c:pt>
                <c:pt idx="8">
                  <c:v>85301</c:v>
                </c:pt>
                <c:pt idx="9">
                  <c:v>39893711</c:v>
                </c:pt>
                <c:pt idx="10">
                  <c:v>2595189</c:v>
                </c:pt>
                <c:pt idx="11">
                  <c:v>2325613</c:v>
                </c:pt>
              </c:numCache>
            </c:numRef>
          </c:val>
          <c:extLst xmlns:c16r2="http://schemas.microsoft.com/office/drawing/2015/06/chart">
            <c:ext xmlns:c16="http://schemas.microsoft.com/office/drawing/2014/chart" uri="{C3380CC4-5D6E-409C-BE32-E72D297353CC}">
              <c16:uniqueId val="{00000018-6BB1-4502-B806-EA02EDCB8AD3}"/>
            </c:ext>
          </c:extLst>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spPr>
    <a:gradFill>
      <a:gsLst>
        <a:gs pos="100000">
          <a:schemeClr val="accent3">
            <a:lumMod val="60000"/>
            <a:lumOff val="40000"/>
          </a:schemeClr>
        </a:gs>
        <a:gs pos="6000">
          <a:schemeClr val="accent3">
            <a:lumMod val="75000"/>
          </a:schemeClr>
        </a:gs>
        <a:gs pos="100000">
          <a:schemeClr val="accent1">
            <a:lumMod val="45000"/>
            <a:lumOff val="55000"/>
          </a:schemeClr>
        </a:gs>
        <a:gs pos="100000">
          <a:schemeClr val="accent1">
            <a:lumMod val="20000"/>
            <a:lumOff val="80000"/>
          </a:schemeClr>
        </a:gs>
        <a:gs pos="34000">
          <a:srgbClr val="FFFF00"/>
        </a:gs>
        <a:gs pos="100000">
          <a:schemeClr val="accent3">
            <a:lumMod val="75000"/>
          </a:schemeClr>
        </a:gs>
      </a:gsLst>
      <a:lin ang="8100000" scaled="1"/>
    </a:gra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78751-0AE9-4A4B-A800-0801FF430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10038</Words>
  <Characters>5722</Characters>
  <Application>Microsoft Office Word</Application>
  <DocSecurity>4</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Santa Hermane</cp:lastModifiedBy>
  <cp:revision>2</cp:revision>
  <cp:lastPrinted>2021-08-03T10:35:00Z</cp:lastPrinted>
  <dcterms:created xsi:type="dcterms:W3CDTF">2021-08-05T10:21:00Z</dcterms:created>
  <dcterms:modified xsi:type="dcterms:W3CDTF">2021-08-05T10:21:00Z</dcterms:modified>
</cp:coreProperties>
</file>