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A18B42" w14:textId="5DBD002A" w:rsidR="00263855" w:rsidRDefault="000F2FF2" w:rsidP="00CE2DCC">
      <w:pPr>
        <w:pStyle w:val="Virsraksts1"/>
        <w:jc w:val="center"/>
      </w:pPr>
      <w:bookmarkStart w:id="0" w:name="_Hlk2757825"/>
      <w:r>
        <w:t>Ogres novada pašvaldības saistošo noteikumu Nr.</w:t>
      </w:r>
      <w:r w:rsidR="00B6378C">
        <w:t>10</w:t>
      </w:r>
      <w:r>
        <w:t>/2022 “</w:t>
      </w:r>
      <w:r w:rsidR="00B16DB5" w:rsidRPr="001E12F7">
        <w:t xml:space="preserve">Par nekustamā īpašuma nodokļa </w:t>
      </w:r>
      <w:r w:rsidR="00B16DB5">
        <w:t xml:space="preserve">atvieglojumu piešķiršanu </w:t>
      </w:r>
      <w:bookmarkEnd w:id="0"/>
      <w:r w:rsidR="00B16DB5" w:rsidRPr="00852D46">
        <w:t>nekustamā īpašuma nodokļa maksātājiem par Ogres novada pašvaldības 20</w:t>
      </w:r>
      <w:r w:rsidR="00B16DB5">
        <w:t>21</w:t>
      </w:r>
      <w:r w:rsidR="00B16DB5" w:rsidRPr="00852D46">
        <w:t xml:space="preserve">.gada </w:t>
      </w:r>
      <w:r w:rsidR="00B16DB5">
        <w:t>14</w:t>
      </w:r>
      <w:r w:rsidR="00B16DB5" w:rsidRPr="00852D46">
        <w:t>.</w:t>
      </w:r>
      <w:r w:rsidR="00B16DB5">
        <w:t>oktobra</w:t>
      </w:r>
      <w:r w:rsidR="00B16DB5" w:rsidRPr="00852D46">
        <w:t xml:space="preserve"> saistoš</w:t>
      </w:r>
      <w:bookmarkStart w:id="1" w:name="_GoBack"/>
      <w:bookmarkEnd w:id="1"/>
      <w:r w:rsidR="00B16DB5">
        <w:t>o</w:t>
      </w:r>
      <w:r w:rsidR="00B16DB5" w:rsidRPr="00852D46">
        <w:t xml:space="preserve"> noteikum</w:t>
      </w:r>
      <w:r w:rsidR="00B16DB5">
        <w:t>u Nr.21/2021 “</w:t>
      </w:r>
      <w:r w:rsidR="00B16DB5" w:rsidRPr="00852D46">
        <w:t xml:space="preserve">Par nekustamā īpašuma nodokļa piemērošanas kārtību Ogres novadā” </w:t>
      </w:r>
      <w:r w:rsidR="00B16DB5">
        <w:t>2.</w:t>
      </w:r>
      <w:r w:rsidR="00B16DB5" w:rsidRPr="00852D46">
        <w:t>punktā minētajiem objektiem</w:t>
      </w:r>
      <w:r w:rsidR="00B16DB5">
        <w:t xml:space="preserve"> 2022.gadā</w:t>
      </w:r>
      <w:r>
        <w:t>”</w:t>
      </w:r>
    </w:p>
    <w:p w14:paraId="4E1B9870" w14:textId="1D9DC642" w:rsidR="000F2FF2" w:rsidRPr="00CE2DCC" w:rsidRDefault="000F2FF2" w:rsidP="00CE2DCC">
      <w:pPr>
        <w:jc w:val="center"/>
      </w:pPr>
      <w:r>
        <w:rPr>
          <w:rFonts w:ascii="Times New Roman" w:hAnsi="Times New Roman"/>
          <w:b/>
          <w:sz w:val="24"/>
          <w:szCs w:val="24"/>
          <w:lang w:eastAsia="ar-SA"/>
        </w:rPr>
        <w:t>p</w:t>
      </w:r>
      <w:r w:rsidRPr="00CE2DCC">
        <w:rPr>
          <w:rFonts w:ascii="Times New Roman" w:hAnsi="Times New Roman"/>
          <w:b/>
          <w:sz w:val="24"/>
          <w:szCs w:val="24"/>
          <w:lang w:eastAsia="ar-SA"/>
        </w:rPr>
        <w:t>askaidrojuma raksts</w:t>
      </w:r>
    </w:p>
    <w:p w14:paraId="7AA52CA3" w14:textId="77777777" w:rsidR="00263855" w:rsidRPr="00C554FC" w:rsidRDefault="00263855" w:rsidP="001B5922">
      <w:pPr>
        <w:pStyle w:val="Nosaukums"/>
        <w:rPr>
          <w:b w:val="0"/>
          <w:sz w:val="24"/>
        </w:rPr>
      </w:pPr>
    </w:p>
    <w:tbl>
      <w:tblPr>
        <w:tblW w:w="532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3"/>
        <w:gridCol w:w="7298"/>
      </w:tblGrid>
      <w:tr w:rsidR="00263855" w:rsidRPr="00C554FC" w14:paraId="0288A9D1" w14:textId="77777777" w:rsidTr="00CE2DCC">
        <w:trPr>
          <w:cantSplit/>
        </w:trPr>
        <w:tc>
          <w:tcPr>
            <w:tcW w:w="1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5DBB" w14:textId="77777777" w:rsidR="00263855" w:rsidRPr="00C554FC" w:rsidRDefault="00263855" w:rsidP="001B5922">
            <w:pPr>
              <w:pStyle w:val="naiskr"/>
              <w:spacing w:before="120" w:after="120"/>
              <w:jc w:val="center"/>
              <w:rPr>
                <w:b/>
              </w:rPr>
            </w:pPr>
            <w:r w:rsidRPr="00C554FC">
              <w:rPr>
                <w:b/>
              </w:rPr>
              <w:t>Paskaidrojuma raksta sadaļas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4E93CC" w14:textId="77777777" w:rsidR="00263855" w:rsidRPr="00C554FC" w:rsidRDefault="00263855" w:rsidP="001B5922">
            <w:pPr>
              <w:pStyle w:val="naisnod"/>
              <w:spacing w:before="0" w:after="0"/>
              <w:rPr>
                <w:lang w:eastAsia="en-US"/>
              </w:rPr>
            </w:pPr>
            <w:r w:rsidRPr="00C554FC">
              <w:rPr>
                <w:lang w:eastAsia="en-US"/>
              </w:rPr>
              <w:t>Norādāmā informācija</w:t>
            </w:r>
          </w:p>
        </w:tc>
      </w:tr>
      <w:tr w:rsidR="00263855" w:rsidRPr="00C554FC" w14:paraId="5F86E375" w14:textId="77777777" w:rsidTr="00CE2DCC">
        <w:trPr>
          <w:cantSplit/>
        </w:trPr>
        <w:tc>
          <w:tcPr>
            <w:tcW w:w="1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76CF3" w14:textId="77777777" w:rsidR="00263855" w:rsidRPr="00C554FC" w:rsidRDefault="00263855" w:rsidP="001B5922">
            <w:pPr>
              <w:pStyle w:val="naiskr"/>
              <w:spacing w:before="120" w:after="120"/>
              <w:rPr>
                <w:b/>
              </w:rPr>
            </w:pPr>
            <w:r w:rsidRPr="00C554FC">
              <w:rPr>
                <w:bCs/>
              </w:rPr>
              <w:t>1. Projekta nepieciešamības pamatojums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C94E0" w14:textId="485149EC" w:rsidR="006373EE" w:rsidRPr="006373EE" w:rsidRDefault="006373EE" w:rsidP="00CE2DCC">
            <w:pPr>
              <w:pStyle w:val="Default"/>
              <w:ind w:firstLine="546"/>
              <w:jc w:val="both"/>
            </w:pPr>
            <w:r w:rsidRPr="006373EE">
              <w:t>Ogres novada pašvaldībā nekustamā īpašuma nodokļa administrēšana notiek saskaņā ar likumu „Par nekustamā īpašuma nodokli” un Ogres novada pašvaldības 20</w:t>
            </w:r>
            <w:r>
              <w:t>21</w:t>
            </w:r>
            <w:r w:rsidRPr="006373EE">
              <w:t xml:space="preserve">.gada </w:t>
            </w:r>
            <w:r>
              <w:t>14</w:t>
            </w:r>
            <w:r w:rsidRPr="006373EE">
              <w:t>.</w:t>
            </w:r>
            <w:r>
              <w:t>oktobra</w:t>
            </w:r>
            <w:r w:rsidRPr="006373EE">
              <w:t xml:space="preserve"> saistošajiem noteikumiem Nr.</w:t>
            </w:r>
            <w:r>
              <w:t>21</w:t>
            </w:r>
            <w:r w:rsidRPr="006373EE">
              <w:t>/20</w:t>
            </w:r>
            <w:r>
              <w:t>21</w:t>
            </w:r>
            <w:r w:rsidRPr="006373EE">
              <w:t xml:space="preserve"> „Par nekustamā īpašuma nodokļa piemērošanas kārtību Ogres novadā”.</w:t>
            </w:r>
          </w:p>
          <w:p w14:paraId="5C452D3F" w14:textId="718DB60D" w:rsidR="006373EE" w:rsidRDefault="006373EE" w:rsidP="006373EE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Ir saņemti iedzīvotāju iesniegumi ar lūgumu pārskatīt nekustamā īpašuma nodokļa aprēķinu nekustamā īpašuma nodokļa objektiem,</w:t>
            </w:r>
            <w:r w:rsidR="000F2FF2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kuriem pamatojoties uz</w:t>
            </w:r>
            <w:r w:rsidR="00AF5E50">
              <w:rPr>
                <w:rFonts w:ascii="Times New Roman" w:eastAsia="Times New Roman" w:hAnsi="Times New Roman"/>
                <w:sz w:val="24"/>
                <w:szCs w:val="24"/>
              </w:rPr>
              <w:t xml:space="preserve"> 2021.gada 14.oktobra Ogres novada pašvaldības saistošajiem noteikumiem Nr. 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/20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 xml:space="preserve"> „Par nekustamā īpašuma nodokļa piemērošanas kārtību Ogres novadā”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punktu, piemērota nekustamā īpašuma nodokļa likme 1,5% apmērā no kadastrālās vērtības, ja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 xml:space="preserve">.gadā viņu īpašumā esošajā nekustamā īpašuma nodokļa objektā kāda persona deklarē savu dzīvesvietu. </w:t>
            </w:r>
          </w:p>
          <w:p w14:paraId="04EC4599" w14:textId="648E1053" w:rsidR="006373EE" w:rsidRPr="006373EE" w:rsidRDefault="006373EE" w:rsidP="006373EE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Ņemot vērā iedzīvotāju izteikto viedokli un lai pašvaldība nekustamā īpašuma nodokļu maksātājiem, kuri izpildījuši noteiktos nosacījumus - viņu īpašumā esošajā nekustamā īpašuma nodokļa objektā kāda persona ir deklarējusi savu dzīvesvietu, pašvaldība varētu piemērot nekustamā īpašuma nodokļa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atvieglojumu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tiek ieviests pārejas periods Ogres novada pašvaldības 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 xml:space="preserve">.gada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oktobra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 xml:space="preserve"> saistošajos noteikumos Nr.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/20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 xml:space="preserve"> „Par nekustamā īpašuma nodokļa piemērošanas kārtību Ogres novadā” piemērošanai un ar šiem saistošajiem noteikumiem noteikti atvieglojumi:</w:t>
            </w:r>
          </w:p>
          <w:p w14:paraId="7736BBCC" w14:textId="38E3D521" w:rsidR="006373EE" w:rsidRPr="006373EE" w:rsidRDefault="006373EE" w:rsidP="006373EE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3EE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 xml:space="preserve"> 50% apmērā, ja nekustamā īpašuma nodokļa objektā </w:t>
            </w:r>
            <w:r w:rsidR="000F2FF2">
              <w:rPr>
                <w:rFonts w:ascii="Times New Roman" w:eastAsia="Times New Roman" w:hAnsi="Times New Roman"/>
                <w:sz w:val="24"/>
                <w:szCs w:val="24"/>
              </w:rPr>
              <w:t xml:space="preserve">līdz 2022.gada 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1.jūnija plkst. 00.00 ir deklarēta vismaz viena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persona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  <w:p w14:paraId="09CF6A50" w14:textId="5D9E018F" w:rsidR="006373EE" w:rsidRPr="006373EE" w:rsidRDefault="006373EE" w:rsidP="006373EE">
            <w:pPr>
              <w:spacing w:after="0" w:line="240" w:lineRule="auto"/>
              <w:ind w:firstLine="25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 xml:space="preserve">2. 25% apmērā, ja nekustamā īpašuma nodokļa objektā </w:t>
            </w:r>
            <w:r w:rsidR="000F2FF2">
              <w:rPr>
                <w:rFonts w:ascii="Times New Roman" w:eastAsia="Times New Roman" w:hAnsi="Times New Roman"/>
                <w:sz w:val="24"/>
                <w:szCs w:val="24"/>
              </w:rPr>
              <w:t xml:space="preserve">līdz 2022.gada </w:t>
            </w:r>
            <w:r w:rsidRPr="006373EE">
              <w:rPr>
                <w:rFonts w:ascii="Times New Roman" w:eastAsia="Times New Roman" w:hAnsi="Times New Roman"/>
                <w:sz w:val="24"/>
                <w:szCs w:val="24"/>
              </w:rPr>
              <w:t>1.septembra plkst. 00.00 ir deklarēta vismaz viena persona.</w:t>
            </w:r>
          </w:p>
          <w:p w14:paraId="1BE5F223" w14:textId="77777777" w:rsidR="00263855" w:rsidRPr="00C554FC" w:rsidRDefault="00263855" w:rsidP="00CE2DCC">
            <w:pPr>
              <w:pStyle w:val="Default"/>
            </w:pPr>
          </w:p>
        </w:tc>
      </w:tr>
      <w:tr w:rsidR="005F7C81" w:rsidRPr="00C554FC" w14:paraId="33B0322C" w14:textId="77777777" w:rsidTr="00CE2DCC">
        <w:trPr>
          <w:cantSplit/>
        </w:trPr>
        <w:tc>
          <w:tcPr>
            <w:tcW w:w="1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E8ED" w14:textId="77777777" w:rsidR="005F7C81" w:rsidRPr="00C554FC" w:rsidRDefault="005F7C81" w:rsidP="005F7C81">
            <w:pPr>
              <w:pStyle w:val="naiskr"/>
              <w:spacing w:before="120" w:after="120"/>
              <w:rPr>
                <w:bCs/>
              </w:rPr>
            </w:pPr>
            <w:r w:rsidRPr="00C554FC">
              <w:rPr>
                <w:bCs/>
              </w:rPr>
              <w:t>2. Īss projekta satura izklāsts</w:t>
            </w:r>
          </w:p>
        </w:tc>
        <w:tc>
          <w:tcPr>
            <w:tcW w:w="3785" w:type="pct"/>
          </w:tcPr>
          <w:p w14:paraId="3C27C0DA" w14:textId="391526E1" w:rsidR="005F7C81" w:rsidRDefault="005F7C81" w:rsidP="005F7C81">
            <w:pPr>
              <w:pStyle w:val="naisnod"/>
              <w:spacing w:before="0" w:after="0"/>
              <w:ind w:firstLine="265"/>
              <w:jc w:val="both"/>
              <w:rPr>
                <w:b w:val="0"/>
              </w:rPr>
            </w:pPr>
            <w:r w:rsidRPr="00CA3D27">
              <w:rPr>
                <w:b w:val="0"/>
              </w:rPr>
              <w:t>Saistošie noteikumi nosaka</w:t>
            </w:r>
            <w:r>
              <w:rPr>
                <w:b w:val="0"/>
              </w:rPr>
              <w:t xml:space="preserve"> </w:t>
            </w:r>
            <w:r w:rsidRPr="00417B06">
              <w:rPr>
                <w:b w:val="0"/>
              </w:rPr>
              <w:t>nekustamā īpašuma nodokļa atvieglojumu</w:t>
            </w:r>
            <w:r>
              <w:rPr>
                <w:b w:val="0"/>
              </w:rPr>
              <w:t xml:space="preserve"> </w:t>
            </w:r>
            <w:r w:rsidRPr="00417B06">
              <w:rPr>
                <w:b w:val="0"/>
              </w:rPr>
              <w:t>piemēro</w:t>
            </w:r>
            <w:r>
              <w:rPr>
                <w:b w:val="0"/>
              </w:rPr>
              <w:t>šanu</w:t>
            </w:r>
            <w:r w:rsidRPr="00417B06">
              <w:rPr>
                <w:b w:val="0"/>
              </w:rPr>
              <w:t xml:space="preserve"> nekustamā īpašuma nodokļa maksātājiem par Ogres novada pašvaldības 20</w:t>
            </w:r>
            <w:r>
              <w:rPr>
                <w:b w:val="0"/>
              </w:rPr>
              <w:t>21</w:t>
            </w:r>
            <w:r w:rsidRPr="00417B06">
              <w:rPr>
                <w:b w:val="0"/>
              </w:rPr>
              <w:t xml:space="preserve">.gada </w:t>
            </w:r>
            <w:r>
              <w:rPr>
                <w:b w:val="0"/>
              </w:rPr>
              <w:t>14</w:t>
            </w:r>
            <w:r w:rsidRPr="00417B06">
              <w:rPr>
                <w:b w:val="0"/>
              </w:rPr>
              <w:t>.</w:t>
            </w:r>
            <w:r>
              <w:rPr>
                <w:b w:val="0"/>
              </w:rPr>
              <w:t>oktobra</w:t>
            </w:r>
            <w:r w:rsidRPr="00417B06">
              <w:rPr>
                <w:b w:val="0"/>
              </w:rPr>
              <w:t xml:space="preserve"> saistošiem noteikumiem Nr.</w:t>
            </w:r>
            <w:r>
              <w:rPr>
                <w:b w:val="0"/>
              </w:rPr>
              <w:t>21</w:t>
            </w:r>
            <w:r w:rsidRPr="00417B06">
              <w:rPr>
                <w:b w:val="0"/>
              </w:rPr>
              <w:t>/20</w:t>
            </w:r>
            <w:r>
              <w:rPr>
                <w:b w:val="0"/>
              </w:rPr>
              <w:t>21</w:t>
            </w:r>
            <w:r w:rsidRPr="00417B06">
              <w:rPr>
                <w:b w:val="0"/>
              </w:rPr>
              <w:t xml:space="preserve"> „Par nekustamā īpašuma nodokļa piemērošanas kārtību Ogres novadā” </w:t>
            </w:r>
            <w:r>
              <w:rPr>
                <w:b w:val="0"/>
              </w:rPr>
              <w:t>2.</w:t>
            </w:r>
            <w:r w:rsidRPr="00417B06">
              <w:rPr>
                <w:b w:val="0"/>
              </w:rPr>
              <w:t xml:space="preserve"> punktā minētajiem </w:t>
            </w:r>
            <w:r w:rsidRPr="00470180">
              <w:rPr>
                <w:b w:val="0"/>
              </w:rPr>
              <w:t xml:space="preserve">nekustamā īpašuma nodokļa </w:t>
            </w:r>
            <w:r w:rsidRPr="00417B06">
              <w:rPr>
                <w:b w:val="0"/>
              </w:rPr>
              <w:t>objektiem, par kuriem, aprēķinot nekustamā īpašuma nodokli, piemērota nekustamā īpašuma nodokļa likme 1,5% apmērā no kadastrālās vērtības</w:t>
            </w:r>
            <w:r>
              <w:rPr>
                <w:b w:val="0"/>
              </w:rPr>
              <w:t>.</w:t>
            </w:r>
          </w:p>
          <w:p w14:paraId="157E91E8" w14:textId="77777777" w:rsidR="005F7C81" w:rsidRPr="00C554FC" w:rsidRDefault="005F7C81" w:rsidP="005F7C81">
            <w:pPr>
              <w:pStyle w:val="Sarakstarindkopa"/>
              <w:spacing w:after="0" w:line="240" w:lineRule="auto"/>
              <w:ind w:left="1332"/>
            </w:pPr>
          </w:p>
        </w:tc>
      </w:tr>
      <w:tr w:rsidR="005F7C81" w:rsidRPr="00C554FC" w14:paraId="16309AEB" w14:textId="77777777" w:rsidTr="00CE2DCC">
        <w:trPr>
          <w:cantSplit/>
        </w:trPr>
        <w:tc>
          <w:tcPr>
            <w:tcW w:w="1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F621" w14:textId="08252996" w:rsidR="005F7C81" w:rsidRPr="00C554FC" w:rsidRDefault="004F4423" w:rsidP="005F7C81">
            <w:pPr>
              <w:pStyle w:val="naisf"/>
              <w:spacing w:before="120" w:after="120"/>
              <w:jc w:val="left"/>
              <w:rPr>
                <w:bCs/>
                <w:lang w:val="lv-LV"/>
              </w:rPr>
            </w:pPr>
            <w:r>
              <w:rPr>
                <w:bCs/>
                <w:lang w:val="lv-LV"/>
              </w:rPr>
              <w:t>3</w:t>
            </w:r>
            <w:r w:rsidR="005F7C81" w:rsidRPr="00C554FC">
              <w:rPr>
                <w:bCs/>
                <w:lang w:val="lv-LV"/>
              </w:rPr>
              <w:t>. Informācija par plānoto projekta ietekmi uz uzņēmējdarbības vidi pašvaldības teritorijā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C93CDB" w14:textId="77777777" w:rsidR="005F7C81" w:rsidRPr="00C554FC" w:rsidRDefault="005F7C81" w:rsidP="005F7C81">
            <w:pPr>
              <w:pStyle w:val="Default"/>
              <w:rPr>
                <w:b/>
                <w:bCs/>
              </w:rPr>
            </w:pPr>
            <w:r w:rsidRPr="00C554FC">
              <w:rPr>
                <w:color w:val="auto"/>
                <w:lang w:eastAsia="en-US"/>
              </w:rPr>
              <w:t xml:space="preserve">   Uzņēmējdarbības vidi saistošie noteikumi būtiski neietekmēs.</w:t>
            </w:r>
          </w:p>
        </w:tc>
      </w:tr>
      <w:tr w:rsidR="005F7C81" w:rsidRPr="00C554FC" w14:paraId="5D0C2A98" w14:textId="77777777" w:rsidTr="00CE2DCC">
        <w:trPr>
          <w:cantSplit/>
          <w:trHeight w:val="1058"/>
        </w:trPr>
        <w:tc>
          <w:tcPr>
            <w:tcW w:w="1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D880" w14:textId="1B4783B3" w:rsidR="005F7C81" w:rsidRPr="00C554FC" w:rsidRDefault="004F4423" w:rsidP="005F7C81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5F7C81" w:rsidRPr="00C554FC">
              <w:rPr>
                <w:rFonts w:ascii="Times New Roman" w:hAnsi="Times New Roman"/>
                <w:bCs/>
                <w:sz w:val="24"/>
                <w:szCs w:val="24"/>
              </w:rPr>
              <w:t>. Informācija par administratīvajām procedūrām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858A01" w14:textId="2D67A080" w:rsidR="005F7C81" w:rsidRPr="00C554FC" w:rsidRDefault="005F7C81" w:rsidP="000F2FF2">
            <w:pPr>
              <w:pStyle w:val="Default"/>
              <w:ind w:firstLine="546"/>
              <w:jc w:val="both"/>
              <w:rPr>
                <w:color w:val="auto"/>
                <w:lang w:eastAsia="en-US"/>
              </w:rPr>
            </w:pPr>
            <w:r w:rsidRPr="00C554FC">
              <w:t xml:space="preserve">Saistošos noteikumus publicē </w:t>
            </w:r>
            <w:r w:rsidR="000F2FF2">
              <w:t>oficiālajā izdevumā “Latvijas Vēstnesis” Ogres novada pašvaldības tīmekļvietnē</w:t>
            </w:r>
            <w:r w:rsidRPr="00C554FC">
              <w:t xml:space="preserve"> www.ogresnovads.lv un tie tiek izlikti redzamā vietā </w:t>
            </w:r>
            <w:r w:rsidRPr="00C554FC">
              <w:rPr>
                <w:bCs/>
              </w:rPr>
              <w:t xml:space="preserve">Ogres novada pašvaldības centrālajā administrācijas un Ogres novada </w:t>
            </w:r>
            <w:r w:rsidR="000F2FF2">
              <w:rPr>
                <w:bCs/>
              </w:rPr>
              <w:t xml:space="preserve">pilsētu un </w:t>
            </w:r>
            <w:r w:rsidRPr="00C554FC">
              <w:rPr>
                <w:bCs/>
              </w:rPr>
              <w:t>pagastu pārvaldēs</w:t>
            </w:r>
            <w:r w:rsidRPr="00C554FC">
              <w:t xml:space="preserve"> ēkās .</w:t>
            </w:r>
          </w:p>
        </w:tc>
      </w:tr>
      <w:tr w:rsidR="005F7C81" w:rsidRPr="00C554FC" w14:paraId="1FDD607B" w14:textId="77777777" w:rsidTr="00CE2DCC">
        <w:trPr>
          <w:cantSplit/>
        </w:trPr>
        <w:tc>
          <w:tcPr>
            <w:tcW w:w="12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E814" w14:textId="4BC95DB0" w:rsidR="005F7C81" w:rsidRPr="00C554FC" w:rsidRDefault="004F4423" w:rsidP="005F7C81">
            <w:pPr>
              <w:spacing w:before="120" w:after="12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</w:t>
            </w:r>
            <w:r w:rsidR="005F7C81" w:rsidRPr="00C554FC">
              <w:rPr>
                <w:rFonts w:ascii="Times New Roman" w:hAnsi="Times New Roman"/>
                <w:bCs/>
                <w:sz w:val="24"/>
                <w:szCs w:val="24"/>
              </w:rPr>
              <w:t>. Informācija par konsultācijām ar privātpersonām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361F75" w14:textId="77777777" w:rsidR="005F7C81" w:rsidRPr="00C554FC" w:rsidRDefault="005F7C81" w:rsidP="005F7C81">
            <w:pPr>
              <w:pStyle w:val="naisnod"/>
              <w:spacing w:before="0" w:after="0"/>
              <w:ind w:firstLine="546"/>
              <w:jc w:val="both"/>
              <w:rPr>
                <w:b w:val="0"/>
                <w:bCs w:val="0"/>
              </w:rPr>
            </w:pPr>
            <w:r w:rsidRPr="00C554FC">
              <w:rPr>
                <w:b w:val="0"/>
                <w:bCs w:val="0"/>
              </w:rPr>
              <w:t xml:space="preserve">Saistošo noteikumu izstrādes procesā konsultācijas ar privātpersonām nav veiktas. </w:t>
            </w:r>
          </w:p>
          <w:p w14:paraId="34619D54" w14:textId="77777777" w:rsidR="005F7C81" w:rsidRPr="00C554FC" w:rsidRDefault="005F7C81" w:rsidP="005F7C81">
            <w:pPr>
              <w:pStyle w:val="naisnod"/>
              <w:spacing w:before="0" w:after="0"/>
              <w:ind w:firstLine="431"/>
              <w:jc w:val="both"/>
              <w:rPr>
                <w:b w:val="0"/>
                <w:bCs w:val="0"/>
                <w:lang w:eastAsia="en-US"/>
              </w:rPr>
            </w:pPr>
          </w:p>
        </w:tc>
      </w:tr>
    </w:tbl>
    <w:p w14:paraId="0ACB14AC" w14:textId="77777777" w:rsidR="00263855" w:rsidRPr="00C554FC" w:rsidRDefault="00263855" w:rsidP="00A66AA5">
      <w:pPr>
        <w:rPr>
          <w:rFonts w:ascii="Times New Roman" w:hAnsi="Times New Roman"/>
          <w:sz w:val="24"/>
          <w:szCs w:val="24"/>
        </w:rPr>
      </w:pPr>
    </w:p>
    <w:p w14:paraId="2BE4B0A0" w14:textId="77777777" w:rsidR="00263855" w:rsidRDefault="00263855">
      <w:pPr>
        <w:rPr>
          <w:rFonts w:ascii="Times New Roman" w:hAnsi="Times New Roman"/>
          <w:sz w:val="24"/>
          <w:szCs w:val="24"/>
        </w:rPr>
      </w:pPr>
    </w:p>
    <w:p w14:paraId="7F58AF0E" w14:textId="77777777" w:rsidR="00263855" w:rsidRPr="00C554FC" w:rsidRDefault="00263855">
      <w:pPr>
        <w:rPr>
          <w:rFonts w:ascii="Times New Roman" w:hAnsi="Times New Roman"/>
          <w:sz w:val="24"/>
          <w:szCs w:val="24"/>
        </w:rPr>
      </w:pPr>
      <w:r w:rsidRPr="00C554FC">
        <w:rPr>
          <w:rFonts w:ascii="Times New Roman" w:hAnsi="Times New Roman"/>
          <w:sz w:val="24"/>
          <w:szCs w:val="24"/>
        </w:rPr>
        <w:t>Domes priekšsēdētājs</w:t>
      </w:r>
      <w:r w:rsidRPr="00C554FC">
        <w:rPr>
          <w:rFonts w:ascii="Times New Roman" w:hAnsi="Times New Roman"/>
          <w:sz w:val="24"/>
          <w:szCs w:val="24"/>
        </w:rPr>
        <w:tab/>
      </w:r>
      <w:r w:rsidRPr="00C554FC">
        <w:rPr>
          <w:rFonts w:ascii="Times New Roman" w:hAnsi="Times New Roman"/>
          <w:sz w:val="24"/>
          <w:szCs w:val="24"/>
        </w:rPr>
        <w:tab/>
      </w:r>
      <w:r w:rsidRPr="00C554FC">
        <w:rPr>
          <w:rFonts w:ascii="Times New Roman" w:hAnsi="Times New Roman"/>
          <w:sz w:val="24"/>
          <w:szCs w:val="24"/>
        </w:rPr>
        <w:tab/>
      </w:r>
      <w:r w:rsidRPr="00C554FC">
        <w:rPr>
          <w:rFonts w:ascii="Times New Roman" w:hAnsi="Times New Roman"/>
          <w:sz w:val="24"/>
          <w:szCs w:val="24"/>
        </w:rPr>
        <w:tab/>
      </w:r>
      <w:r w:rsidRPr="00C554FC">
        <w:rPr>
          <w:rFonts w:ascii="Times New Roman" w:hAnsi="Times New Roman"/>
          <w:sz w:val="24"/>
          <w:szCs w:val="24"/>
        </w:rPr>
        <w:tab/>
      </w:r>
      <w:r w:rsidRPr="00C554FC">
        <w:rPr>
          <w:rFonts w:ascii="Times New Roman" w:hAnsi="Times New Roman"/>
          <w:sz w:val="24"/>
          <w:szCs w:val="24"/>
        </w:rPr>
        <w:tab/>
      </w:r>
      <w:r w:rsidRPr="00C554FC">
        <w:rPr>
          <w:rFonts w:ascii="Times New Roman" w:hAnsi="Times New Roman"/>
          <w:sz w:val="24"/>
          <w:szCs w:val="24"/>
        </w:rPr>
        <w:tab/>
      </w:r>
      <w:r w:rsidRPr="00C554F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 w:rsidRPr="00C554FC">
        <w:rPr>
          <w:rFonts w:ascii="Times New Roman" w:hAnsi="Times New Roman"/>
          <w:sz w:val="24"/>
          <w:szCs w:val="24"/>
        </w:rPr>
        <w:t>E.Helmanis</w:t>
      </w:r>
      <w:proofErr w:type="spellEnd"/>
    </w:p>
    <w:sectPr w:rsidR="00263855" w:rsidRPr="00C554FC" w:rsidSect="00CE2DC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Virsraksts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 w:hint="default"/>
        <w:b w:val="0"/>
        <w:bCs/>
        <w:i/>
        <w:iCs/>
      </w:rPr>
    </w:lvl>
    <w:lvl w:ilvl="1">
      <w:start w:val="1"/>
      <w:numFmt w:val="none"/>
      <w:pStyle w:val="Virsraksts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Virsraksts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1DF4D9C"/>
    <w:multiLevelType w:val="hybridMultilevel"/>
    <w:tmpl w:val="3BA6B73A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975EAB"/>
    <w:multiLevelType w:val="hybridMultilevel"/>
    <w:tmpl w:val="074A1BE8"/>
    <w:lvl w:ilvl="0" w:tplc="0426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" w15:restartNumberingAfterBreak="0">
    <w:nsid w:val="537D2B2F"/>
    <w:multiLevelType w:val="hybridMultilevel"/>
    <w:tmpl w:val="93A23B84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4534891"/>
    <w:multiLevelType w:val="hybridMultilevel"/>
    <w:tmpl w:val="2ADEF0E8"/>
    <w:lvl w:ilvl="0" w:tplc="04260001">
      <w:start w:val="1"/>
      <w:numFmt w:val="bullet"/>
      <w:lvlText w:val=""/>
      <w:lvlJc w:val="left"/>
      <w:pPr>
        <w:ind w:left="133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5" w15:restartNumberingAfterBreak="0">
    <w:nsid w:val="5DFD736D"/>
    <w:multiLevelType w:val="hybridMultilevel"/>
    <w:tmpl w:val="B6DA5DD0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F5577"/>
    <w:multiLevelType w:val="hybridMultilevel"/>
    <w:tmpl w:val="72465A4E"/>
    <w:lvl w:ilvl="0" w:tplc="1688A318">
      <w:start w:val="1"/>
      <w:numFmt w:val="decimal"/>
      <w:lvlText w:val="%1."/>
      <w:lvlJc w:val="left"/>
      <w:pPr>
        <w:tabs>
          <w:tab w:val="num" w:pos="837"/>
        </w:tabs>
        <w:ind w:left="837" w:hanging="585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922"/>
    <w:rsid w:val="000151D7"/>
    <w:rsid w:val="0007486F"/>
    <w:rsid w:val="00076797"/>
    <w:rsid w:val="000A5E8A"/>
    <w:rsid w:val="000E3FE9"/>
    <w:rsid w:val="000F2072"/>
    <w:rsid w:val="000F2FF2"/>
    <w:rsid w:val="001543D1"/>
    <w:rsid w:val="001A11C1"/>
    <w:rsid w:val="001B5922"/>
    <w:rsid w:val="001C6751"/>
    <w:rsid w:val="00247312"/>
    <w:rsid w:val="00263855"/>
    <w:rsid w:val="00264188"/>
    <w:rsid w:val="002E5418"/>
    <w:rsid w:val="003806F9"/>
    <w:rsid w:val="00392583"/>
    <w:rsid w:val="00402013"/>
    <w:rsid w:val="0041498C"/>
    <w:rsid w:val="0044713D"/>
    <w:rsid w:val="004C4316"/>
    <w:rsid w:val="004E0408"/>
    <w:rsid w:val="004F4423"/>
    <w:rsid w:val="00530047"/>
    <w:rsid w:val="005F75B9"/>
    <w:rsid w:val="005F7C81"/>
    <w:rsid w:val="006373EE"/>
    <w:rsid w:val="006576B9"/>
    <w:rsid w:val="006B143B"/>
    <w:rsid w:val="006B31DC"/>
    <w:rsid w:val="007716DC"/>
    <w:rsid w:val="007E38B4"/>
    <w:rsid w:val="008D2615"/>
    <w:rsid w:val="008D6880"/>
    <w:rsid w:val="00965DF8"/>
    <w:rsid w:val="009747C6"/>
    <w:rsid w:val="009D65FF"/>
    <w:rsid w:val="009F7F43"/>
    <w:rsid w:val="00A15E5D"/>
    <w:rsid w:val="00A22222"/>
    <w:rsid w:val="00A23A2A"/>
    <w:rsid w:val="00A42340"/>
    <w:rsid w:val="00A5531F"/>
    <w:rsid w:val="00A66AA5"/>
    <w:rsid w:val="00A75971"/>
    <w:rsid w:val="00AA22B5"/>
    <w:rsid w:val="00AA50F3"/>
    <w:rsid w:val="00AC1B35"/>
    <w:rsid w:val="00AC4AA1"/>
    <w:rsid w:val="00AF5E50"/>
    <w:rsid w:val="00B07E01"/>
    <w:rsid w:val="00B16DB5"/>
    <w:rsid w:val="00B22B18"/>
    <w:rsid w:val="00B24737"/>
    <w:rsid w:val="00B51691"/>
    <w:rsid w:val="00B554FD"/>
    <w:rsid w:val="00B6378C"/>
    <w:rsid w:val="00B87A13"/>
    <w:rsid w:val="00BD6F69"/>
    <w:rsid w:val="00C11CDE"/>
    <w:rsid w:val="00C2160D"/>
    <w:rsid w:val="00C5316A"/>
    <w:rsid w:val="00C554FC"/>
    <w:rsid w:val="00C82317"/>
    <w:rsid w:val="00C85F56"/>
    <w:rsid w:val="00CE14C7"/>
    <w:rsid w:val="00CE2DCC"/>
    <w:rsid w:val="00D72D9D"/>
    <w:rsid w:val="00D7309A"/>
    <w:rsid w:val="00D87CC6"/>
    <w:rsid w:val="00DC30D2"/>
    <w:rsid w:val="00DD1F59"/>
    <w:rsid w:val="00E378B6"/>
    <w:rsid w:val="00E579EA"/>
    <w:rsid w:val="00E652C7"/>
    <w:rsid w:val="00E93E56"/>
    <w:rsid w:val="00EA0A92"/>
    <w:rsid w:val="00F22040"/>
    <w:rsid w:val="00F314DC"/>
    <w:rsid w:val="00F831EB"/>
    <w:rsid w:val="00F9163C"/>
    <w:rsid w:val="00FB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BF5D63"/>
  <w15:docId w15:val="{E95B9835-EB56-4C2D-B302-EF837EEC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831EB"/>
    <w:pPr>
      <w:spacing w:after="160" w:line="259" w:lineRule="auto"/>
    </w:pPr>
    <w:rPr>
      <w:lang w:eastAsia="en-US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1B5922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kern w:val="1"/>
      <w:sz w:val="24"/>
      <w:szCs w:val="24"/>
      <w:lang w:eastAsia="ar-SA"/>
    </w:rPr>
  </w:style>
  <w:style w:type="paragraph" w:styleId="Virsraksts2">
    <w:name w:val="heading 2"/>
    <w:basedOn w:val="Parasts"/>
    <w:next w:val="Parasts"/>
    <w:link w:val="Virsraksts2Rakstz"/>
    <w:uiPriority w:val="99"/>
    <w:qFormat/>
    <w:rsid w:val="001B5922"/>
    <w:pPr>
      <w:keepNext/>
      <w:numPr>
        <w:ilvl w:val="1"/>
        <w:numId w:val="1"/>
      </w:numPr>
      <w:suppressAutoHyphens/>
      <w:spacing w:after="0" w:line="240" w:lineRule="auto"/>
      <w:ind w:left="5670" w:hanging="5670"/>
      <w:outlineLvl w:val="1"/>
    </w:pPr>
    <w:rPr>
      <w:rFonts w:ascii="Times New Roman" w:eastAsia="Times New Roman" w:hAnsi="Times New Roman"/>
      <w:b/>
      <w:bCs/>
      <w:kern w:val="1"/>
      <w:sz w:val="24"/>
      <w:szCs w:val="24"/>
      <w:lang w:eastAsia="ar-SA"/>
    </w:rPr>
  </w:style>
  <w:style w:type="paragraph" w:styleId="Virsraksts3">
    <w:name w:val="heading 3"/>
    <w:basedOn w:val="Parasts"/>
    <w:next w:val="Parasts"/>
    <w:link w:val="Virsraksts3Rakstz"/>
    <w:uiPriority w:val="99"/>
    <w:qFormat/>
    <w:rsid w:val="001B5922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kern w:val="1"/>
      <w:sz w:val="28"/>
      <w:szCs w:val="20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1B5922"/>
    <w:rPr>
      <w:rFonts w:ascii="Times New Roman" w:hAnsi="Times New Roman" w:cs="Times New Roman"/>
      <w:b/>
      <w:bCs/>
      <w:kern w:val="1"/>
      <w:sz w:val="24"/>
      <w:szCs w:val="24"/>
      <w:lang w:eastAsia="ar-SA" w:bidi="ar-SA"/>
    </w:rPr>
  </w:style>
  <w:style w:type="character" w:customStyle="1" w:styleId="Virsraksts2Rakstz">
    <w:name w:val="Virsraksts 2 Rakstz."/>
    <w:basedOn w:val="Noklusjumarindkopasfonts"/>
    <w:link w:val="Virsraksts2"/>
    <w:uiPriority w:val="99"/>
    <w:locked/>
    <w:rsid w:val="001B5922"/>
    <w:rPr>
      <w:rFonts w:ascii="Times New Roman" w:hAnsi="Times New Roman" w:cs="Times New Roman"/>
      <w:b/>
      <w:bCs/>
      <w:kern w:val="1"/>
      <w:sz w:val="24"/>
      <w:szCs w:val="24"/>
      <w:lang w:eastAsia="ar-SA" w:bidi="ar-SA"/>
    </w:rPr>
  </w:style>
  <w:style w:type="character" w:customStyle="1" w:styleId="Virsraksts3Rakstz">
    <w:name w:val="Virsraksts 3 Rakstz."/>
    <w:basedOn w:val="Noklusjumarindkopasfonts"/>
    <w:link w:val="Virsraksts3"/>
    <w:uiPriority w:val="99"/>
    <w:locked/>
    <w:rsid w:val="001B5922"/>
    <w:rPr>
      <w:rFonts w:ascii="Times New Roman" w:hAnsi="Times New Roman" w:cs="Times New Roman"/>
      <w:kern w:val="1"/>
      <w:sz w:val="20"/>
      <w:szCs w:val="20"/>
      <w:lang w:eastAsia="ar-SA" w:bidi="ar-SA"/>
    </w:rPr>
  </w:style>
  <w:style w:type="paragraph" w:styleId="Nosaukums">
    <w:name w:val="Title"/>
    <w:basedOn w:val="Parasts"/>
    <w:link w:val="NosaukumsRakstz"/>
    <w:uiPriority w:val="99"/>
    <w:qFormat/>
    <w:rsid w:val="001B592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osaukumsRakstz">
    <w:name w:val="Nosaukums Rakstz."/>
    <w:basedOn w:val="Noklusjumarindkopasfonts"/>
    <w:link w:val="Nosaukums"/>
    <w:uiPriority w:val="99"/>
    <w:locked/>
    <w:rsid w:val="001B5922"/>
    <w:rPr>
      <w:rFonts w:ascii="Times New Roman" w:hAnsi="Times New Roman" w:cs="Times New Roman"/>
      <w:b/>
      <w:bCs/>
      <w:sz w:val="24"/>
      <w:szCs w:val="24"/>
    </w:rPr>
  </w:style>
  <w:style w:type="paragraph" w:customStyle="1" w:styleId="naisf">
    <w:name w:val="naisf"/>
    <w:basedOn w:val="Parasts"/>
    <w:uiPriority w:val="99"/>
    <w:rsid w:val="001B5922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1B5922"/>
    <w:pPr>
      <w:spacing w:before="150" w:after="15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lv-LV"/>
    </w:rPr>
  </w:style>
  <w:style w:type="paragraph" w:customStyle="1" w:styleId="naiskr">
    <w:name w:val="naiskr"/>
    <w:basedOn w:val="Parasts"/>
    <w:uiPriority w:val="99"/>
    <w:rsid w:val="001B5922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Default">
    <w:name w:val="Default"/>
    <w:uiPriority w:val="99"/>
    <w:rsid w:val="001B59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99"/>
    <w:qFormat/>
    <w:rsid w:val="001B5922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rsid w:val="000E3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locked/>
    <w:rsid w:val="005F75B9"/>
    <w:rPr>
      <w:rFonts w:ascii="Times New Roman" w:hAnsi="Times New Roman" w:cs="Times New Roman"/>
      <w:sz w:val="2"/>
      <w:lang w:eastAsia="en-US"/>
    </w:rPr>
  </w:style>
  <w:style w:type="character" w:styleId="Hipersaite">
    <w:name w:val="Hyperlink"/>
    <w:basedOn w:val="Noklusjumarindkopasfonts"/>
    <w:uiPriority w:val="99"/>
    <w:rsid w:val="00A7597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650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50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1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2797</Characters>
  <Application>Microsoft Office Word</Application>
  <DocSecurity>4</DocSecurity>
  <Lines>23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Sinta Vempere</dc:creator>
  <cp:keywords/>
  <dc:description/>
  <cp:lastModifiedBy>Santa Hermane</cp:lastModifiedBy>
  <cp:revision>2</cp:revision>
  <cp:lastPrinted>2022-02-25T09:59:00Z</cp:lastPrinted>
  <dcterms:created xsi:type="dcterms:W3CDTF">2022-02-25T10:00:00Z</dcterms:created>
  <dcterms:modified xsi:type="dcterms:W3CDTF">2022-02-25T10:00:00Z</dcterms:modified>
</cp:coreProperties>
</file>