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4D" w:rsidRDefault="009D054D" w:rsidP="009D054D">
      <w:pPr>
        <w:jc w:val="center"/>
        <w:rPr>
          <w:rFonts w:ascii="RimBelwe" w:eastAsia="RimBelwe" w:hAnsi="RimBelwe" w:cs="RimBelwe"/>
          <w:sz w:val="36"/>
          <w:lang w:eastAsia="lv-LV"/>
        </w:rPr>
      </w:pPr>
      <w:r w:rsidRPr="00140939">
        <w:rPr>
          <w:noProof/>
          <w:lang w:eastAsia="lv-LV" w:bidi="ar-SA"/>
        </w:rPr>
        <w:drawing>
          <wp:inline distT="0" distB="0" distL="0" distR="0">
            <wp:extent cx="60007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4D" w:rsidRDefault="009D054D" w:rsidP="009D054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RimBelwe" w:hAnsi="RimBelwe" w:cs="RimBelwe"/>
          <w:sz w:val="18"/>
          <w:lang w:eastAsia="lv-LV"/>
        </w:rPr>
      </w:pPr>
      <w:r>
        <w:rPr>
          <w:rFonts w:ascii="RimBelwe" w:eastAsia="RimBelwe" w:hAnsi="RimBelwe" w:cs="RimBelwe"/>
          <w:sz w:val="36"/>
          <w:lang w:eastAsia="lv-LV"/>
        </w:rPr>
        <w:t xml:space="preserve"> </w:t>
      </w:r>
      <w:r>
        <w:rPr>
          <w:rFonts w:ascii="RimBelwe" w:hAnsi="RimBelwe" w:cs="RimBelwe"/>
          <w:sz w:val="36"/>
          <w:lang w:eastAsia="lv-LV"/>
        </w:rPr>
        <w:t>OGRES</w:t>
      </w:r>
      <w:r>
        <w:rPr>
          <w:rFonts w:ascii="RimBelwe" w:eastAsia="RimBelwe" w:hAnsi="RimBelwe" w:cs="RimBelwe"/>
          <w:sz w:val="36"/>
          <w:lang w:eastAsia="lv-LV"/>
        </w:rPr>
        <w:t xml:space="preserve"> </w:t>
      </w:r>
      <w:r>
        <w:rPr>
          <w:rFonts w:ascii="RimBelwe" w:hAnsi="RimBelwe" w:cs="RimBelwe"/>
          <w:sz w:val="36"/>
          <w:lang w:eastAsia="lv-LV"/>
        </w:rPr>
        <w:t>NOVADA</w:t>
      </w:r>
      <w:r>
        <w:rPr>
          <w:rFonts w:ascii="RimBelwe" w:eastAsia="RimBelwe" w:hAnsi="RimBelwe" w:cs="RimBelwe"/>
          <w:sz w:val="36"/>
          <w:lang w:eastAsia="lv-LV"/>
        </w:rPr>
        <w:t xml:space="preserve"> </w:t>
      </w:r>
      <w:r>
        <w:rPr>
          <w:rFonts w:ascii="RimBelwe" w:hAnsi="RimBelwe" w:cs="RimBelwe"/>
          <w:sz w:val="36"/>
          <w:lang w:eastAsia="lv-LV"/>
        </w:rPr>
        <w:t>PAŠVALDĪBA</w:t>
      </w:r>
    </w:p>
    <w:p w:rsidR="009D054D" w:rsidRPr="00C05D06" w:rsidRDefault="009D054D" w:rsidP="009D054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RimBelwe" w:hAnsi="RimBelwe" w:cs="RimBelwe"/>
          <w:sz w:val="18"/>
          <w:lang w:eastAsia="lv-LV"/>
        </w:rPr>
      </w:pPr>
      <w:r w:rsidRPr="00C05D06">
        <w:rPr>
          <w:rFonts w:ascii="RimBelwe" w:hAnsi="RimBelwe" w:cs="RimBelwe"/>
          <w:sz w:val="18"/>
          <w:lang w:eastAsia="lv-LV"/>
        </w:rPr>
        <w:t>Reģ.Nr.90000024455, Brīvības iela 33, Ogre, Ogres nov., LV-5001</w:t>
      </w:r>
    </w:p>
    <w:p w:rsidR="009D054D" w:rsidRDefault="009D054D" w:rsidP="009D054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RimBelwe" w:hAnsi="RimBelwe" w:cs="RimBelwe"/>
          <w:sz w:val="28"/>
          <w:szCs w:val="28"/>
          <w:lang w:eastAsia="lv-LV"/>
        </w:rPr>
      </w:pPr>
      <w:r w:rsidRPr="00C05D06">
        <w:rPr>
          <w:rFonts w:ascii="RimBelwe" w:hAnsi="RimBelwe" w:cs="RimBelwe"/>
          <w:sz w:val="18"/>
          <w:lang w:eastAsia="lv-LV"/>
        </w:rPr>
        <w:t>tālrunis 65071160, fakss 65071161, e-pasts: ogredome@ogresnovads.lv, www.ogresnovads.lv</w:t>
      </w:r>
    </w:p>
    <w:p w:rsidR="009D054D" w:rsidRDefault="009D054D" w:rsidP="009D054D">
      <w:pPr>
        <w:rPr>
          <w:rFonts w:ascii="RimBelwe" w:hAnsi="RimBelwe" w:cs="RimBelwe"/>
          <w:sz w:val="28"/>
          <w:szCs w:val="28"/>
          <w:lang w:eastAsia="lv-LV"/>
        </w:rPr>
      </w:pPr>
    </w:p>
    <w:p w:rsidR="009D054D" w:rsidRPr="00A4358E" w:rsidRDefault="009D054D" w:rsidP="009D054D">
      <w:pPr>
        <w:ind w:left="720" w:firstLine="720"/>
        <w:rPr>
          <w:sz w:val="28"/>
          <w:szCs w:val="28"/>
        </w:rPr>
      </w:pPr>
      <w:r>
        <w:rPr>
          <w:sz w:val="28"/>
        </w:rPr>
        <w:t>PAŠVALDĪBAS</w:t>
      </w:r>
      <w:r>
        <w:rPr>
          <w:rFonts w:eastAsia="Times New Roman" w:cs="Times New Roman"/>
          <w:sz w:val="28"/>
        </w:rPr>
        <w:t xml:space="preserve"> </w:t>
      </w:r>
      <w:r w:rsidRPr="00A4358E">
        <w:rPr>
          <w:sz w:val="28"/>
          <w:szCs w:val="28"/>
        </w:rPr>
        <w:t>DOMES SĒDES</w:t>
      </w:r>
      <w:r w:rsidRPr="00A4358E">
        <w:rPr>
          <w:rFonts w:eastAsia="Times New Roman" w:cs="Times New Roman"/>
          <w:sz w:val="28"/>
          <w:szCs w:val="28"/>
        </w:rPr>
        <w:t xml:space="preserve"> </w:t>
      </w:r>
      <w:r w:rsidRPr="00A4358E">
        <w:rPr>
          <w:sz w:val="28"/>
          <w:szCs w:val="28"/>
        </w:rPr>
        <w:t>PROTOKOLA</w:t>
      </w:r>
      <w:r w:rsidRPr="00A4358E">
        <w:rPr>
          <w:rFonts w:eastAsia="Times New Roman" w:cs="Times New Roman"/>
          <w:sz w:val="28"/>
          <w:szCs w:val="28"/>
        </w:rPr>
        <w:t xml:space="preserve"> </w:t>
      </w:r>
      <w:r w:rsidRPr="00A4358E">
        <w:rPr>
          <w:sz w:val="28"/>
          <w:szCs w:val="28"/>
        </w:rPr>
        <w:t>IZRAKSTS</w:t>
      </w:r>
    </w:p>
    <w:p w:rsidR="009D054D" w:rsidRDefault="009D054D" w:rsidP="009D054D"/>
    <w:p w:rsidR="009D054D" w:rsidRPr="00DB25F2" w:rsidRDefault="009D054D" w:rsidP="009D054D"/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2818"/>
        <w:gridCol w:w="3467"/>
        <w:gridCol w:w="3001"/>
      </w:tblGrid>
      <w:tr w:rsidR="009D054D" w:rsidTr="00756E91">
        <w:trPr>
          <w:trHeight w:val="284"/>
        </w:trPr>
        <w:tc>
          <w:tcPr>
            <w:tcW w:w="2818" w:type="dxa"/>
            <w:shd w:val="clear" w:color="auto" w:fill="auto"/>
          </w:tcPr>
          <w:p w:rsidR="009D054D" w:rsidRDefault="009D054D" w:rsidP="00756E91">
            <w:pPr>
              <w:snapToGrid w:val="0"/>
            </w:pPr>
            <w:r>
              <w:t>Ogrē,</w:t>
            </w:r>
            <w:r>
              <w:rPr>
                <w:rFonts w:eastAsia="Times New Roman" w:cs="Times New Roman"/>
              </w:rPr>
              <w:t xml:space="preserve"> </w:t>
            </w:r>
            <w:r>
              <w:t>Brīvības</w:t>
            </w:r>
            <w:r>
              <w:rPr>
                <w:rFonts w:eastAsia="Times New Roman" w:cs="Times New Roman"/>
              </w:rPr>
              <w:t xml:space="preserve"> </w:t>
            </w:r>
            <w:r>
              <w:t>ielā</w:t>
            </w:r>
            <w:r>
              <w:rPr>
                <w:rFonts w:eastAsia="Times New Roman" w:cs="Times New Roman"/>
              </w:rPr>
              <w:t xml:space="preserve"> </w:t>
            </w:r>
            <w:r>
              <w:t>33</w:t>
            </w:r>
          </w:p>
        </w:tc>
        <w:tc>
          <w:tcPr>
            <w:tcW w:w="3467" w:type="dxa"/>
            <w:shd w:val="clear" w:color="auto" w:fill="auto"/>
          </w:tcPr>
          <w:p w:rsidR="009D054D" w:rsidRDefault="009D054D" w:rsidP="00756E91">
            <w:pPr>
              <w:pStyle w:val="Heading2"/>
              <w:snapToGrid w:val="0"/>
            </w:pPr>
            <w:r>
              <w:t>Nr.7</w:t>
            </w:r>
          </w:p>
        </w:tc>
        <w:tc>
          <w:tcPr>
            <w:tcW w:w="3001" w:type="dxa"/>
            <w:shd w:val="clear" w:color="auto" w:fill="auto"/>
          </w:tcPr>
          <w:p w:rsidR="009D054D" w:rsidRDefault="009D054D" w:rsidP="00756E91">
            <w:pPr>
              <w:snapToGrid w:val="0"/>
              <w:jc w:val="right"/>
            </w:pPr>
            <w:r>
              <w:t>2019.gada 20.jūnijā</w:t>
            </w:r>
            <w:r>
              <w:rPr>
                <w:rFonts w:eastAsia="Times New Roman" w:cs="Times New Roman"/>
              </w:rPr>
              <w:t xml:space="preserve">   </w:t>
            </w:r>
          </w:p>
        </w:tc>
      </w:tr>
    </w:tbl>
    <w:p w:rsidR="009D054D" w:rsidRDefault="009D054D" w:rsidP="009D054D"/>
    <w:p w:rsidR="009D054D" w:rsidRDefault="009D054D" w:rsidP="009D054D">
      <w:pPr>
        <w:jc w:val="center"/>
        <w:rPr>
          <w:b/>
        </w:rPr>
      </w:pPr>
      <w:r>
        <w:rPr>
          <w:b/>
        </w:rPr>
        <w:t>18.</w:t>
      </w:r>
      <w:bookmarkStart w:id="0" w:name="_Hlk534207458"/>
      <w:r>
        <w:rPr>
          <w:b/>
        </w:rPr>
        <w:t>§</w:t>
      </w:r>
      <w:bookmarkEnd w:id="0"/>
    </w:p>
    <w:p w:rsidR="00BE7DAE" w:rsidRPr="00515C9A" w:rsidRDefault="00BE7DAE" w:rsidP="009D054D">
      <w:pPr>
        <w:jc w:val="center"/>
        <w:rPr>
          <w:b/>
        </w:rPr>
      </w:pPr>
    </w:p>
    <w:p w:rsidR="009D054D" w:rsidRPr="00515C9A" w:rsidRDefault="009D054D" w:rsidP="009D054D">
      <w:pPr>
        <w:pStyle w:val="Heading1"/>
      </w:pPr>
      <w:r w:rsidRPr="003D461A">
        <w:t xml:space="preserve">Par </w:t>
      </w:r>
      <w:r>
        <w:t xml:space="preserve">grozījumiem </w:t>
      </w:r>
      <w:bookmarkStart w:id="1" w:name="_Hlk10717669"/>
      <w:r>
        <w:t>Ogres novada pašvaldības domes 2018.gada 22.novembra lēmumā “Par dzīvokļa Nr. 2  “Krautuves 1”, Suntaži, Suntažu pag., Ogres nov., atsavināšanu”</w:t>
      </w:r>
      <w:bookmarkEnd w:id="1"/>
    </w:p>
    <w:p w:rsidR="009D054D" w:rsidRPr="00763CAB" w:rsidRDefault="009D054D" w:rsidP="009D054D">
      <w:pPr>
        <w:pStyle w:val="Heading1"/>
        <w:ind w:left="0"/>
        <w:rPr>
          <w:b w:val="0"/>
        </w:rPr>
      </w:pPr>
    </w:p>
    <w:p w:rsidR="009D054D" w:rsidRPr="001343D0" w:rsidRDefault="009D054D" w:rsidP="009D054D">
      <w:pPr>
        <w:pStyle w:val="BodyTextIndent"/>
        <w:spacing w:after="0"/>
        <w:ind w:left="0" w:firstLine="720"/>
        <w:jc w:val="both"/>
        <w:rPr>
          <w:rFonts w:ascii="TimesNewRomanPSMT" w:hAnsi="TimesNewRomanPSMT" w:cs="TimesNewRomanPSMT"/>
        </w:rPr>
      </w:pPr>
      <w:r>
        <w:t>Ogres novada pašvaldības domes 2018.gada 22.novembra sēdē pieņemts lēmums “Par dzīvokļa Nr. 2  “Krautuves 1”, Suntaži, Suntažu pag., Ogres nov., atsavināšanu</w:t>
      </w:r>
      <w:r w:rsidRPr="00A71979">
        <w:t xml:space="preserve">” </w:t>
      </w:r>
      <w:r w:rsidRPr="0036475D">
        <w:t>(protokols Nr. 18, 4.§)</w:t>
      </w:r>
      <w:r>
        <w:t xml:space="preserve">.  </w:t>
      </w:r>
      <w:r w:rsidRPr="00CF1A20">
        <w:t>Iepriekš minētajā domes</w:t>
      </w:r>
      <w:r>
        <w:t xml:space="preserve"> lēmuma aprakstošajā daļā un lemjošās daļas 1.punktā ir ieviesusies pārrakstīšanās kļūda, neprecīzi norādot būves kadastra apzīmējumus divām būvēm, proti, norādīts </w:t>
      </w:r>
      <w:r w:rsidRPr="0036475D">
        <w:t>būves kadastra apzīmējums</w:t>
      </w:r>
      <w:r>
        <w:t xml:space="preserve"> 7488 003 0199 005 006, nevis 7488 003 0199 006, un norādīts būves kadastra apzīmējums 7488 003 0199 005 008, nevis 7488 003 0199 008. </w:t>
      </w:r>
    </w:p>
    <w:p w:rsidR="009D054D" w:rsidRDefault="009D054D" w:rsidP="009D054D">
      <w:pPr>
        <w:pStyle w:val="BodyTextIndent"/>
        <w:spacing w:after="0"/>
        <w:ind w:left="0" w:firstLine="851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Administratīvā procesa likuma 72.panta pirmajā daļā noteikts, ka iestāde jebkurā laikā administratīvā akta tekstā var izlabot acīmredzamas pārrakstīšanās vai matemātiskās kļūdas, ja tas nemaina lēmuma būtību.</w:t>
      </w:r>
    </w:p>
    <w:p w:rsidR="009D054D" w:rsidRDefault="009D054D" w:rsidP="009D054D">
      <w:pPr>
        <w:pStyle w:val="BodyTextIndent"/>
        <w:spacing w:after="0"/>
        <w:ind w:left="0" w:firstLine="851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Pamatojoties uz likuma “Par pašvaldībām”21.panta pirmās daļas 27.punktu un Administratīvā procesa likuma 72.panta pirmo daļu,</w:t>
      </w:r>
    </w:p>
    <w:p w:rsidR="009D054D" w:rsidRDefault="009D054D" w:rsidP="009D054D">
      <w:pPr>
        <w:ind w:firstLine="218"/>
        <w:jc w:val="center"/>
        <w:rPr>
          <w:b/>
        </w:rPr>
      </w:pPr>
    </w:p>
    <w:p w:rsidR="009D054D" w:rsidRPr="00093AE1" w:rsidRDefault="009D054D" w:rsidP="009D054D">
      <w:pPr>
        <w:widowControl/>
        <w:suppressAutoHyphens w:val="0"/>
        <w:jc w:val="center"/>
        <w:rPr>
          <w:rFonts w:ascii="RimTimes" w:eastAsia="Times New Roman" w:hAnsi="RimTimes" w:cs="Times New Roman"/>
          <w:kern w:val="0"/>
          <w:szCs w:val="20"/>
          <w:lang w:val="en-US" w:eastAsia="en-US" w:bidi="ar-SA"/>
        </w:rPr>
      </w:pPr>
      <w:r w:rsidRPr="00093AE1">
        <w:rPr>
          <w:rFonts w:ascii="RimTimes" w:eastAsia="Times New Roman" w:hAnsi="RimTimes" w:cs="Times New Roman"/>
          <w:b/>
          <w:kern w:val="0"/>
          <w:szCs w:val="20"/>
          <w:lang w:val="en-US" w:eastAsia="en-US" w:bidi="ar-SA"/>
        </w:rPr>
        <w:t>balsojot: PAR –</w:t>
      </w:r>
      <w:r w:rsidRPr="00093AE1">
        <w:rPr>
          <w:rFonts w:ascii="RimTimes" w:eastAsia="Times New Roman" w:hAnsi="RimTimes" w:cs="Times New Roman"/>
          <w:kern w:val="0"/>
          <w:szCs w:val="20"/>
          <w:lang w:val="en-US" w:eastAsia="en-US" w:bidi="ar-SA"/>
        </w:rPr>
        <w:t xml:space="preserve"> 15 balsis (E.Helmanis, G.Sīviņš, S. Kirhnere, M.Siliņš, Dz.Žindiga, Dz.Mozule, A.Mangulis, J.Laptevs, M.Leja, J.Iklāvs, J.Latišs, E.Bartkevičs. J.Laizāns, A.Purviņa, E.Strazdiņa), </w:t>
      </w:r>
      <w:r w:rsidRPr="00093AE1">
        <w:rPr>
          <w:rFonts w:ascii="RimTimes" w:eastAsia="Times New Roman" w:hAnsi="RimTimes" w:cs="Times New Roman"/>
          <w:b/>
          <w:kern w:val="0"/>
          <w:szCs w:val="20"/>
          <w:lang w:val="en-US" w:eastAsia="en-US" w:bidi="ar-SA"/>
        </w:rPr>
        <w:t xml:space="preserve">PRET – </w:t>
      </w:r>
      <w:r w:rsidRPr="00093AE1">
        <w:rPr>
          <w:rFonts w:ascii="RimTimes" w:eastAsia="Times New Roman" w:hAnsi="RimTimes" w:cs="Times New Roman"/>
          <w:kern w:val="0"/>
          <w:szCs w:val="20"/>
          <w:lang w:val="en-US" w:eastAsia="en-US" w:bidi="ar-SA"/>
        </w:rPr>
        <w:t xml:space="preserve">nav, </w:t>
      </w:r>
      <w:r w:rsidRPr="00093AE1">
        <w:rPr>
          <w:rFonts w:ascii="RimTimes" w:eastAsia="Times New Roman" w:hAnsi="RimTimes" w:cs="Times New Roman"/>
          <w:b/>
          <w:kern w:val="0"/>
          <w:szCs w:val="20"/>
          <w:lang w:val="en-US" w:eastAsia="en-US" w:bidi="ar-SA"/>
        </w:rPr>
        <w:t xml:space="preserve">ATTURAS – </w:t>
      </w:r>
      <w:r w:rsidRPr="00093AE1">
        <w:rPr>
          <w:rFonts w:ascii="RimTimes" w:eastAsia="Times New Roman" w:hAnsi="RimTimes" w:cs="Times New Roman"/>
          <w:kern w:val="0"/>
          <w:szCs w:val="20"/>
          <w:lang w:val="en-US" w:eastAsia="en-US" w:bidi="ar-SA"/>
        </w:rPr>
        <w:t>nav,</w:t>
      </w:r>
    </w:p>
    <w:p w:rsidR="009D054D" w:rsidRPr="00093AE1" w:rsidRDefault="009D054D" w:rsidP="009D054D">
      <w:pPr>
        <w:widowControl/>
        <w:suppressAutoHyphens w:val="0"/>
        <w:ind w:firstLine="375"/>
        <w:jc w:val="center"/>
        <w:rPr>
          <w:rFonts w:ascii="RimTimes" w:eastAsia="Times New Roman" w:hAnsi="RimTimes" w:cs="Times New Roman"/>
          <w:b/>
          <w:kern w:val="0"/>
          <w:szCs w:val="20"/>
          <w:lang w:val="en-US" w:eastAsia="en-US" w:bidi="ar-SA"/>
        </w:rPr>
      </w:pPr>
      <w:r w:rsidRPr="00093AE1">
        <w:rPr>
          <w:rFonts w:ascii="RimTimes" w:eastAsia="Times New Roman" w:hAnsi="RimTimes" w:cs="Times New Roman"/>
          <w:kern w:val="0"/>
          <w:szCs w:val="20"/>
          <w:lang w:val="en-US" w:eastAsia="en-US" w:bidi="ar-SA"/>
        </w:rPr>
        <w:t>Ogres novada pašvaldības dome</w:t>
      </w:r>
      <w:r w:rsidRPr="00093AE1">
        <w:rPr>
          <w:rFonts w:ascii="RimTimes" w:eastAsia="Times New Roman" w:hAnsi="RimTimes" w:cs="Times New Roman"/>
          <w:b/>
          <w:kern w:val="0"/>
          <w:szCs w:val="20"/>
          <w:lang w:val="en-US" w:eastAsia="en-US" w:bidi="ar-SA"/>
        </w:rPr>
        <w:t xml:space="preserve"> NOLEMJ:</w:t>
      </w:r>
    </w:p>
    <w:p w:rsidR="009D054D" w:rsidRDefault="009D054D" w:rsidP="009D054D">
      <w:pPr>
        <w:pStyle w:val="naisf"/>
        <w:spacing w:before="0" w:after="0"/>
        <w:jc w:val="center"/>
        <w:rPr>
          <w:b/>
        </w:rPr>
      </w:pPr>
    </w:p>
    <w:p w:rsidR="009D054D" w:rsidRPr="00F72D67" w:rsidRDefault="009D054D" w:rsidP="009D054D">
      <w:pPr>
        <w:pStyle w:val="Pamattekstaatkpe21"/>
        <w:numPr>
          <w:ilvl w:val="0"/>
          <w:numId w:val="2"/>
        </w:numPr>
        <w:rPr>
          <w:rFonts w:eastAsia="Times New Roman" w:cs="Times New Roman"/>
          <w:bCs/>
        </w:rPr>
      </w:pPr>
      <w:r w:rsidRPr="00CF1A20">
        <w:t xml:space="preserve">Grozīt Ogres novada pašvaldības domes 2018.gada 22.novembra </w:t>
      </w:r>
      <w:hyperlink r:id="rId8" w:history="1">
        <w:r w:rsidRPr="009377CA">
          <w:rPr>
            <w:rStyle w:val="Hyperlink"/>
          </w:rPr>
          <w:t>lēmumu “Par dzīvokļa Nr. 2  “Krautuves 1”,</w:t>
        </w:r>
      </w:hyperlink>
      <w:bookmarkStart w:id="2" w:name="_GoBack"/>
      <w:bookmarkEnd w:id="2"/>
      <w:r w:rsidRPr="00CF1A20">
        <w:t xml:space="preserve"> Suntaži, Suntažu pag., Ogres nov., atsavināšanu”, </w:t>
      </w:r>
      <w:r w:rsidRPr="0036475D">
        <w:t xml:space="preserve">labojot lēmumā </w:t>
      </w:r>
      <w:r w:rsidRPr="0036475D">
        <w:rPr>
          <w:rFonts w:eastAsia="Times New Roman" w:cs="Times New Roman"/>
          <w:bCs/>
        </w:rPr>
        <w:t xml:space="preserve">pārrakstīšanās kļūdas </w:t>
      </w:r>
      <w:r w:rsidRPr="0036475D">
        <w:t>aprakstošajā daļā un lemjošās daļas</w:t>
      </w:r>
      <w:r w:rsidRPr="00CF1A20">
        <w:t xml:space="preserve"> 1.punktā </w:t>
      </w:r>
      <w:bookmarkStart w:id="3" w:name="_Hlk10717858"/>
      <w:r w:rsidRPr="00CF1A20">
        <w:t>būves kadastra apzīmējumu “7488 003 0199 005 006” uz kadastra apzīmējumu “7488 003 0199 006</w:t>
      </w:r>
      <w:bookmarkEnd w:id="3"/>
      <w:r w:rsidRPr="00CF1A20">
        <w:t xml:space="preserve">”, un būves kadastra apzīmējumu “7488 003 0199 005 008” uz kadastra apzīmējumu “7488 003 0199 008”.   </w:t>
      </w:r>
    </w:p>
    <w:p w:rsidR="009D054D" w:rsidRPr="00F72D67" w:rsidRDefault="009D054D" w:rsidP="009D054D">
      <w:pPr>
        <w:numPr>
          <w:ilvl w:val="0"/>
          <w:numId w:val="2"/>
        </w:numPr>
        <w:jc w:val="both"/>
        <w:rPr>
          <w:rFonts w:eastAsia="Times New Roman" w:cs="Times New Roman"/>
          <w:bCs/>
          <w:kern w:val="2"/>
        </w:rPr>
      </w:pPr>
      <w:r w:rsidRPr="00F72D67">
        <w:rPr>
          <w:lang w:eastAsia="lv-LV"/>
        </w:rPr>
        <w:t xml:space="preserve">Uzdot Ogres novada pašvaldības centrālās administrācijas “Ogres novada pašvaldība” </w:t>
      </w:r>
      <w:r w:rsidRPr="00F72D67">
        <w:rPr>
          <w:bCs/>
        </w:rPr>
        <w:t xml:space="preserve">Kancelejai </w:t>
      </w:r>
      <w:r w:rsidRPr="00F72D67">
        <w:rPr>
          <w:iCs/>
        </w:rPr>
        <w:t xml:space="preserve">nodrošināt Ogres novada pašvaldības domes </w:t>
      </w:r>
      <w:r w:rsidRPr="00F72D67">
        <w:t>2018.gada 22.novembra lēmumu “Par dzīvokļa Nr. 2  “Krautuves 1”, Suntaži, Suntažu pag., Ogres nov., atsavināšanu”</w:t>
      </w:r>
      <w:r w:rsidRPr="00F72D67">
        <w:rPr>
          <w:bCs/>
        </w:rPr>
        <w:t xml:space="preserve"> spēkā esošo redakciju.</w:t>
      </w:r>
    </w:p>
    <w:p w:rsidR="009D054D" w:rsidRPr="00CF1A20" w:rsidRDefault="009D054D" w:rsidP="009D054D">
      <w:pPr>
        <w:pStyle w:val="Pamattekstaatkpe21"/>
        <w:numPr>
          <w:ilvl w:val="0"/>
          <w:numId w:val="2"/>
        </w:numPr>
        <w:rPr>
          <w:rFonts w:eastAsia="Times New Roman" w:cs="Times New Roman"/>
          <w:bCs/>
        </w:rPr>
      </w:pPr>
      <w:r w:rsidRPr="00CF1A20">
        <w:rPr>
          <w:b/>
        </w:rPr>
        <w:t>Kontroli</w:t>
      </w:r>
      <w:r w:rsidRPr="00CF1A20">
        <w:rPr>
          <w:rFonts w:eastAsia="Times New Roman" w:cs="Times New Roman"/>
          <w:b/>
        </w:rPr>
        <w:t xml:space="preserve"> </w:t>
      </w:r>
      <w:r w:rsidRPr="00CF1A20">
        <w:t>par</w:t>
      </w:r>
      <w:r w:rsidRPr="00CF1A20">
        <w:rPr>
          <w:rFonts w:eastAsia="Times New Roman" w:cs="Times New Roman"/>
        </w:rPr>
        <w:t xml:space="preserve"> </w:t>
      </w:r>
      <w:r w:rsidRPr="00CF1A20">
        <w:t>lēmuma</w:t>
      </w:r>
      <w:r w:rsidRPr="00CF1A20">
        <w:rPr>
          <w:rFonts w:eastAsia="Times New Roman" w:cs="Times New Roman"/>
        </w:rPr>
        <w:t xml:space="preserve"> </w:t>
      </w:r>
      <w:r w:rsidRPr="00CF1A20">
        <w:t>izpildi</w:t>
      </w:r>
      <w:r w:rsidRPr="00CF1A20">
        <w:rPr>
          <w:rFonts w:eastAsia="Times New Roman" w:cs="Times New Roman"/>
        </w:rPr>
        <w:t xml:space="preserve"> </w:t>
      </w:r>
      <w:r w:rsidRPr="00CF1A20">
        <w:t>uzdot</w:t>
      </w:r>
      <w:r w:rsidRPr="00CF1A20">
        <w:rPr>
          <w:rFonts w:eastAsia="Times New Roman" w:cs="Times New Roman"/>
        </w:rPr>
        <w:t xml:space="preserve"> pašvaldības </w:t>
      </w:r>
      <w:r w:rsidRPr="00F72D67">
        <w:t>izpilddirektora vietniecei.</w:t>
      </w:r>
    </w:p>
    <w:p w:rsidR="009D054D" w:rsidRDefault="009D054D" w:rsidP="009D054D">
      <w:pPr>
        <w:pStyle w:val="Pamattekstaatkpe21"/>
        <w:spacing w:after="60"/>
        <w:ind w:left="0" w:firstLine="218"/>
        <w:rPr>
          <w:rFonts w:eastAsia="Times New Roman" w:cs="Times New Roman"/>
          <w:b/>
          <w:bCs/>
          <w:i/>
        </w:rPr>
      </w:pPr>
    </w:p>
    <w:p w:rsidR="009D054D" w:rsidRDefault="009D054D" w:rsidP="009D054D">
      <w:pPr>
        <w:pStyle w:val="Pamattekstaatkpe21"/>
        <w:ind w:left="218"/>
        <w:jc w:val="right"/>
      </w:pPr>
    </w:p>
    <w:p w:rsidR="009D054D" w:rsidRDefault="009D054D" w:rsidP="009D054D">
      <w:pPr>
        <w:pStyle w:val="Pamattekstaatkpe21"/>
        <w:ind w:left="218"/>
        <w:jc w:val="right"/>
      </w:pPr>
      <w:r>
        <w:t>(Sēdes</w:t>
      </w:r>
      <w:r>
        <w:rPr>
          <w:rFonts w:eastAsia="Times New Roman" w:cs="Times New Roman"/>
        </w:rPr>
        <w:t xml:space="preserve"> </w:t>
      </w:r>
      <w:r>
        <w:t>vadītāja,</w:t>
      </w:r>
    </w:p>
    <w:p w:rsidR="009D054D" w:rsidRDefault="009D054D" w:rsidP="009D054D">
      <w:pPr>
        <w:pStyle w:val="Pamattekstaatkpe21"/>
        <w:ind w:left="218"/>
        <w:jc w:val="right"/>
      </w:pPr>
      <w:r>
        <w:t>domes</w:t>
      </w:r>
      <w:r>
        <w:rPr>
          <w:rFonts w:eastAsia="Times New Roman" w:cs="Times New Roman"/>
        </w:rPr>
        <w:t xml:space="preserve"> </w:t>
      </w:r>
      <w:r>
        <w:t>priekšsēdētāja E.Helmaņa</w:t>
      </w:r>
      <w:r>
        <w:rPr>
          <w:rFonts w:eastAsia="Times New Roman" w:cs="Times New Roman"/>
        </w:rPr>
        <w:t xml:space="preserve"> </w:t>
      </w:r>
      <w:r>
        <w:t>paraksts)</w:t>
      </w:r>
    </w:p>
    <w:p w:rsidR="00BD3EFA" w:rsidRDefault="00BD3EFA"/>
    <w:sectPr w:rsidR="00BD3EFA" w:rsidSect="0041559D">
      <w:footerReference w:type="default" r:id="rId9"/>
      <w:pgSz w:w="11906" w:h="16838"/>
      <w:pgMar w:top="1134" w:right="1134" w:bottom="1134" w:left="1701" w:header="720" w:footer="1134" w:gutter="0"/>
      <w:cols w:space="72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7E1" w:rsidRDefault="00BE7DAE">
      <w:r>
        <w:separator/>
      </w:r>
    </w:p>
  </w:endnote>
  <w:endnote w:type="continuationSeparator" w:id="0">
    <w:p w:rsidR="005C67E1" w:rsidRDefault="00BE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29" w:rsidRDefault="009D054D" w:rsidP="00311C2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E7DA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7E1" w:rsidRDefault="00BE7DAE">
      <w:r>
        <w:separator/>
      </w:r>
    </w:p>
  </w:footnote>
  <w:footnote w:type="continuationSeparator" w:id="0">
    <w:p w:rsidR="005C67E1" w:rsidRDefault="00BE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26A6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D"/>
    <w:rsid w:val="005C67E1"/>
    <w:rsid w:val="009377CA"/>
    <w:rsid w:val="009D054D"/>
    <w:rsid w:val="00BD3EFA"/>
    <w:rsid w:val="00B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EC98F3-0CBD-4758-AECC-DB00B9A0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54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9D054D"/>
    <w:pPr>
      <w:keepNext/>
      <w:numPr>
        <w:numId w:val="1"/>
      </w:numPr>
      <w:ind w:left="-142" w:firstLine="0"/>
      <w:jc w:val="center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9D054D"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9D054D"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54D"/>
    <w:rPr>
      <w:rFonts w:ascii="Times New Roman" w:eastAsia="Lucida Sans Unicode" w:hAnsi="Times New Roman" w:cs="Mangal"/>
      <w:b/>
      <w:kern w:val="1"/>
      <w:sz w:val="24"/>
      <w:szCs w:val="20"/>
      <w:u w:val="single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9D054D"/>
    <w:rPr>
      <w:rFonts w:ascii="Times New Roman" w:eastAsia="Lucida Sans Unicode" w:hAnsi="Times New Roman" w:cs="Mangal"/>
      <w:b/>
      <w:bCs/>
      <w:kern w:val="1"/>
      <w:sz w:val="24"/>
      <w:szCs w:val="20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9D054D"/>
    <w:rPr>
      <w:rFonts w:ascii="Times New Roman" w:eastAsia="Lucida Sans Unicode" w:hAnsi="Times New Roman" w:cs="Mangal"/>
      <w:kern w:val="1"/>
      <w:sz w:val="28"/>
      <w:szCs w:val="20"/>
      <w:lang w:eastAsia="zh-CN" w:bidi="hi-IN"/>
    </w:rPr>
  </w:style>
  <w:style w:type="paragraph" w:styleId="BodyTextIndent">
    <w:name w:val="Body Text Indent"/>
    <w:basedOn w:val="Normal"/>
    <w:link w:val="BodyTextIndentChar"/>
    <w:rsid w:val="009D05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054D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naisf">
    <w:name w:val="naisf"/>
    <w:basedOn w:val="Normal"/>
    <w:rsid w:val="009D054D"/>
    <w:pPr>
      <w:spacing w:before="75" w:after="75"/>
      <w:ind w:firstLine="375"/>
      <w:jc w:val="both"/>
    </w:pPr>
  </w:style>
  <w:style w:type="paragraph" w:customStyle="1" w:styleId="Pamattekstaatkpe21">
    <w:name w:val="Pamatteksta atkāpe 21"/>
    <w:basedOn w:val="Normal"/>
    <w:rsid w:val="009D054D"/>
    <w:pPr>
      <w:ind w:left="-142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9D054D"/>
    <w:pPr>
      <w:suppressLineNumbers/>
      <w:tabs>
        <w:tab w:val="center" w:pos="4435"/>
        <w:tab w:val="right" w:pos="88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4D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937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0_junijs/pielikumi/piel_par_18_2018lem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2019-07-04T08:20:00Z</dcterms:created>
  <dcterms:modified xsi:type="dcterms:W3CDTF">2019-07-04T08:20:00Z</dcterms:modified>
</cp:coreProperties>
</file>