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99A" w:rsidRDefault="001B399A" w:rsidP="001B399A">
      <w:pPr>
        <w:jc w:val="center"/>
        <w:rPr>
          <w:rFonts w:cs="Times New Roman"/>
          <w:b/>
          <w:szCs w:val="24"/>
        </w:rPr>
      </w:pPr>
      <w:r w:rsidRPr="002C6EC1">
        <w:rPr>
          <w:rFonts w:cs="Times New Roman"/>
          <w:b/>
          <w:szCs w:val="24"/>
        </w:rPr>
        <w:t>53.§</w:t>
      </w:r>
    </w:p>
    <w:p w:rsidR="001B399A" w:rsidRPr="002C6EC1" w:rsidRDefault="001B399A" w:rsidP="001B399A">
      <w:pPr>
        <w:jc w:val="center"/>
        <w:rPr>
          <w:rFonts w:cs="Times New Roman"/>
          <w:b/>
          <w:szCs w:val="24"/>
        </w:rPr>
      </w:pPr>
    </w:p>
    <w:p w:rsidR="001B399A" w:rsidRPr="002C6EC1" w:rsidRDefault="001B399A" w:rsidP="001B399A">
      <w:pPr>
        <w:pStyle w:val="Virsraksts1"/>
        <w:jc w:val="center"/>
        <w:rPr>
          <w:rFonts w:ascii="Times New Roman" w:hAnsi="Times New Roman"/>
          <w:b/>
          <w:szCs w:val="24"/>
          <w:u w:val="single"/>
          <w:lang w:val="lv-LV"/>
        </w:rPr>
      </w:pPr>
      <w:r w:rsidRPr="002C6EC1">
        <w:rPr>
          <w:rFonts w:ascii="Times New Roman" w:hAnsi="Times New Roman"/>
          <w:b/>
          <w:szCs w:val="24"/>
          <w:u w:val="single"/>
          <w:lang w:val="lv-LV"/>
        </w:rPr>
        <w:t>Par grozījumiem ar 22.01.2015. Ogres novada pašvaldības domes lēmumu „Par zemes reformas pabeigšanu Ogres novada Ogres pilsētā” apstiprinātajā Ogres pilsētas zemes komisijas sagatavotajā pārskatā</w:t>
      </w:r>
    </w:p>
    <w:p w:rsidR="001B399A" w:rsidRPr="00F149FD" w:rsidRDefault="001B399A" w:rsidP="001B399A">
      <w:pPr>
        <w:jc w:val="center"/>
      </w:pPr>
      <w:r>
        <w:t>(</w:t>
      </w:r>
      <w:proofErr w:type="spellStart"/>
      <w:r>
        <w:t>J.Kļesoveca</w:t>
      </w:r>
      <w:proofErr w:type="spellEnd"/>
      <w:r>
        <w:t>)</w:t>
      </w:r>
    </w:p>
    <w:p w:rsidR="001B399A" w:rsidRPr="002C6EC1" w:rsidRDefault="001B399A" w:rsidP="001B399A">
      <w:pPr>
        <w:rPr>
          <w:rFonts w:cs="Times New Roman"/>
          <w:b/>
          <w:szCs w:val="24"/>
        </w:rPr>
      </w:pPr>
    </w:p>
    <w:p w:rsidR="001B399A" w:rsidRPr="002C6EC1" w:rsidRDefault="001B399A" w:rsidP="001B399A">
      <w:pPr>
        <w:pStyle w:val="WW-Default"/>
        <w:ind w:firstLine="720"/>
        <w:jc w:val="both"/>
        <w:rPr>
          <w:color w:val="auto"/>
        </w:rPr>
      </w:pPr>
      <w:r w:rsidRPr="002C6EC1">
        <w:rPr>
          <w:color w:val="auto"/>
        </w:rPr>
        <w:t>Ogres novada domes 22.01.2015. lēmuma „Par zemes reformas pabeigšanu Ogres novada Ogres pilsētā” aprakstošajā daļā norādīts, ka Ogres novada pašvaldība sadarbībā ar Valsts zemes dienesta Kadastra departamenta kadastra pārraudzības daļu un Valsts zemes dienesta Rīgas reģionālo nodaļu atbilstoši likuma „Par zemes reformas pabeigšanu pilsētās” 6.</w:t>
      </w:r>
      <w:r>
        <w:rPr>
          <w:color w:val="auto"/>
        </w:rPr>
        <w:t xml:space="preserve"> </w:t>
      </w:r>
      <w:r w:rsidRPr="002C6EC1">
        <w:rPr>
          <w:color w:val="auto"/>
        </w:rPr>
        <w:t>pantam sagatavojusi paziņojumu par zemes reformas pabeigšanu pilsētā un pārskatu par zemes reformu reglamentējošajos normatīvajos aktos noteikto darbu izpildi (turpmāk tekstā – Pārskats).</w:t>
      </w:r>
    </w:p>
    <w:p w:rsidR="001B399A" w:rsidRPr="002C6EC1" w:rsidRDefault="001B399A" w:rsidP="001B399A">
      <w:pPr>
        <w:pStyle w:val="WW-Default"/>
        <w:ind w:firstLine="720"/>
        <w:jc w:val="both"/>
        <w:rPr>
          <w:color w:val="auto"/>
        </w:rPr>
      </w:pPr>
      <w:r w:rsidRPr="002C6EC1">
        <w:rPr>
          <w:color w:val="auto"/>
        </w:rPr>
        <w:t>Pārskatā informācija sadalīta septiņās sadaļās, tajā skaitā pielikums Nr.3 „Zemes vienības ar statusu „Pašvaldībai piekritīgā zeme”” ar 352 zemes vienībām un pielikums Nr.7 „Zemes vienības ar statusu „Rezerves zemes fonds”” ar 62 zemes vienībām.</w:t>
      </w:r>
    </w:p>
    <w:p w:rsidR="001B399A" w:rsidRPr="002C6EC1" w:rsidRDefault="001B399A" w:rsidP="001B399A">
      <w:pPr>
        <w:pStyle w:val="WW-Default"/>
        <w:ind w:firstLine="720"/>
        <w:jc w:val="both"/>
      </w:pPr>
      <w:r w:rsidRPr="002C6EC1">
        <w:rPr>
          <w:color w:val="auto"/>
        </w:rPr>
        <w:t xml:space="preserve">Ņemot vērā Ogres pilsētas zemes komisijas priekšsēdētājas </w:t>
      </w:r>
      <w:proofErr w:type="spellStart"/>
      <w:r w:rsidRPr="002C6EC1">
        <w:rPr>
          <w:color w:val="auto"/>
        </w:rPr>
        <w:t>J.Kļesovecas</w:t>
      </w:r>
      <w:proofErr w:type="spellEnd"/>
      <w:r w:rsidRPr="002C6EC1">
        <w:rPr>
          <w:color w:val="auto"/>
        </w:rPr>
        <w:t xml:space="preserve"> ziņojumu par grozījumu veikšanu Ogres novada domes 22.01.2015. lēmumā „Par zemes reformas pabeigšanu Ogres novada Ogres pilsētā” sakarā ar konstatētajām nepilnībām</w:t>
      </w:r>
      <w:r w:rsidRPr="002C6EC1">
        <w:t xml:space="preserve"> un pamatojoties uz likuma „Par pašvaldībām” 21.</w:t>
      </w:r>
      <w:r>
        <w:t xml:space="preserve"> </w:t>
      </w:r>
      <w:r w:rsidRPr="002C6EC1">
        <w:t>panta pirmās daļas 27.</w:t>
      </w:r>
      <w:r>
        <w:t xml:space="preserve"> </w:t>
      </w:r>
      <w:bookmarkStart w:id="0" w:name="_GoBack"/>
      <w:bookmarkEnd w:id="0"/>
      <w:r w:rsidRPr="002C6EC1">
        <w:t>punktu, likuma „Par zemes reformas pabeigšanu pilsētās” 6. un 7.</w:t>
      </w:r>
      <w:r>
        <w:t xml:space="preserve"> </w:t>
      </w:r>
      <w:r w:rsidRPr="002C6EC1">
        <w:t xml:space="preserve">pantu, </w:t>
      </w:r>
    </w:p>
    <w:p w:rsidR="001B399A" w:rsidRPr="002C6EC1" w:rsidRDefault="001B399A" w:rsidP="001B399A">
      <w:pPr>
        <w:pStyle w:val="naisf"/>
        <w:spacing w:before="0" w:beforeAutospacing="0" w:after="0" w:afterAutospacing="0"/>
        <w:jc w:val="center"/>
        <w:rPr>
          <w:rFonts w:ascii="Times New Roman" w:hAnsi="Times New Roman"/>
          <w:bCs/>
          <w:szCs w:val="24"/>
          <w:lang w:val="lv-LV"/>
        </w:rPr>
      </w:pPr>
      <w:r w:rsidRPr="002C6EC1">
        <w:rPr>
          <w:rFonts w:ascii="Times New Roman" w:hAnsi="Times New Roman"/>
          <w:b/>
          <w:szCs w:val="24"/>
          <w:lang w:val="lv-LV"/>
        </w:rPr>
        <w:t xml:space="preserve">balsojot: PAR – </w:t>
      </w:r>
      <w:r w:rsidRPr="002C6EC1">
        <w:rPr>
          <w:rFonts w:ascii="Times New Roman" w:hAnsi="Times New Roman"/>
          <w:bCs/>
          <w:szCs w:val="24"/>
          <w:lang w:val="lv-LV"/>
        </w:rPr>
        <w:t>15 balsis (</w:t>
      </w:r>
      <w:proofErr w:type="spellStart"/>
      <w:r w:rsidRPr="002C6EC1">
        <w:rPr>
          <w:rFonts w:ascii="Times New Roman" w:hAnsi="Times New Roman"/>
          <w:bCs/>
          <w:szCs w:val="24"/>
          <w:lang w:val="lv-LV"/>
        </w:rPr>
        <w:t>E.Bartkevičs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A.Ceplītis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E.Dzelzītis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V.Gaile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E.Helmanis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R.Javoišs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S.Kirhnere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J.Laizāns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M.Legzdiņš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A.Mangulis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Dz.Mozule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M.Siliņš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L.Strelkova</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I.Tamane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I.Vecziediņa</w:t>
      </w:r>
      <w:proofErr w:type="spellEnd"/>
      <w:r w:rsidRPr="002C6EC1">
        <w:rPr>
          <w:rFonts w:ascii="Times New Roman" w:hAnsi="Times New Roman"/>
          <w:bCs/>
          <w:szCs w:val="24"/>
          <w:lang w:val="lv-LV"/>
        </w:rPr>
        <w:t>)</w:t>
      </w:r>
      <w:r w:rsidRPr="002C6EC1">
        <w:rPr>
          <w:rFonts w:ascii="Times New Roman" w:hAnsi="Times New Roman"/>
          <w:szCs w:val="24"/>
          <w:lang w:val="lv-LV"/>
        </w:rPr>
        <w:t xml:space="preserve">, </w:t>
      </w:r>
      <w:r w:rsidRPr="002C6EC1">
        <w:rPr>
          <w:rFonts w:ascii="Times New Roman" w:hAnsi="Times New Roman"/>
          <w:b/>
          <w:szCs w:val="24"/>
          <w:lang w:val="lv-LV"/>
        </w:rPr>
        <w:t xml:space="preserve">PRET </w:t>
      </w:r>
      <w:r w:rsidRPr="002C6EC1">
        <w:rPr>
          <w:rFonts w:ascii="Times New Roman" w:hAnsi="Times New Roman"/>
          <w:bCs/>
          <w:szCs w:val="24"/>
          <w:lang w:val="lv-LV"/>
        </w:rPr>
        <w:t>– nav,</w:t>
      </w:r>
      <w:r w:rsidRPr="002C6EC1">
        <w:rPr>
          <w:rFonts w:ascii="Times New Roman" w:hAnsi="Times New Roman"/>
          <w:szCs w:val="24"/>
          <w:lang w:val="lv-LV"/>
        </w:rPr>
        <w:t xml:space="preserve"> </w:t>
      </w:r>
      <w:r w:rsidRPr="002C6EC1">
        <w:rPr>
          <w:rFonts w:ascii="Times New Roman" w:hAnsi="Times New Roman"/>
          <w:b/>
          <w:szCs w:val="24"/>
          <w:lang w:val="lv-LV"/>
        </w:rPr>
        <w:t xml:space="preserve">ATTURAS </w:t>
      </w:r>
      <w:r w:rsidRPr="002C6EC1">
        <w:rPr>
          <w:rFonts w:ascii="Times New Roman" w:hAnsi="Times New Roman"/>
          <w:bCs/>
          <w:szCs w:val="24"/>
          <w:lang w:val="lv-LV"/>
        </w:rPr>
        <w:t>– nav,</w:t>
      </w:r>
    </w:p>
    <w:p w:rsidR="001B399A" w:rsidRPr="002C6EC1" w:rsidRDefault="001B399A" w:rsidP="001B399A">
      <w:pPr>
        <w:pStyle w:val="naisf"/>
        <w:spacing w:before="0" w:beforeAutospacing="0" w:after="0" w:afterAutospacing="0"/>
        <w:jc w:val="center"/>
        <w:rPr>
          <w:rFonts w:ascii="Times New Roman" w:hAnsi="Times New Roman"/>
          <w:b/>
          <w:szCs w:val="24"/>
          <w:lang w:val="lv-LV"/>
        </w:rPr>
      </w:pPr>
      <w:r w:rsidRPr="002C6EC1">
        <w:rPr>
          <w:rFonts w:ascii="Times New Roman" w:hAnsi="Times New Roman"/>
          <w:szCs w:val="24"/>
          <w:lang w:val="lv-LV"/>
        </w:rPr>
        <w:t>Ogres novada dome</w:t>
      </w:r>
      <w:r w:rsidRPr="002C6EC1">
        <w:rPr>
          <w:rFonts w:ascii="Times New Roman" w:hAnsi="Times New Roman"/>
          <w:b/>
          <w:szCs w:val="24"/>
          <w:lang w:val="lv-LV"/>
        </w:rPr>
        <w:t xml:space="preserve">  NOLEMJ:</w:t>
      </w:r>
    </w:p>
    <w:p w:rsidR="001B399A" w:rsidRPr="002C6EC1" w:rsidRDefault="001B399A" w:rsidP="001B399A">
      <w:pPr>
        <w:pStyle w:val="Pamattekstsaratkpi"/>
        <w:jc w:val="center"/>
        <w:rPr>
          <w:szCs w:val="24"/>
        </w:rPr>
      </w:pPr>
    </w:p>
    <w:p w:rsidR="001B399A" w:rsidRPr="002C6EC1" w:rsidRDefault="001B399A" w:rsidP="001B399A">
      <w:pPr>
        <w:pStyle w:val="Pamattekstaatkpe2"/>
        <w:numPr>
          <w:ilvl w:val="0"/>
          <w:numId w:val="1"/>
        </w:numPr>
        <w:jc w:val="both"/>
        <w:rPr>
          <w:b/>
          <w:bCs/>
          <w:szCs w:val="24"/>
        </w:rPr>
      </w:pPr>
      <w:r w:rsidRPr="002C6EC1">
        <w:rPr>
          <w:b/>
          <w:szCs w:val="24"/>
        </w:rPr>
        <w:t xml:space="preserve">Veikt grozījumus </w:t>
      </w:r>
      <w:r w:rsidRPr="002C6EC1">
        <w:rPr>
          <w:szCs w:val="24"/>
        </w:rPr>
        <w:t>ar</w:t>
      </w:r>
      <w:r w:rsidRPr="002C6EC1">
        <w:rPr>
          <w:b/>
          <w:szCs w:val="24"/>
        </w:rPr>
        <w:t xml:space="preserve"> </w:t>
      </w:r>
      <w:r w:rsidRPr="002C6EC1">
        <w:rPr>
          <w:szCs w:val="24"/>
        </w:rPr>
        <w:t>22.01.2015. Ogres novada pašvaldības domes lēmumu „Par zemes reformas pabeigšanu Ogres novada Ogres pilsētā” apstiprinātajā Ogres pilsētas zemes komisijas sagatavotajā pārskatā:</w:t>
      </w:r>
    </w:p>
    <w:p w:rsidR="001B399A" w:rsidRPr="002C6EC1" w:rsidRDefault="001B399A" w:rsidP="001B399A">
      <w:pPr>
        <w:pStyle w:val="Pamattekstaatkpe2"/>
        <w:numPr>
          <w:ilvl w:val="1"/>
          <w:numId w:val="1"/>
        </w:numPr>
        <w:tabs>
          <w:tab w:val="left" w:pos="840"/>
        </w:tabs>
        <w:jc w:val="both"/>
        <w:rPr>
          <w:b/>
          <w:bCs/>
          <w:szCs w:val="24"/>
        </w:rPr>
      </w:pPr>
      <w:r w:rsidRPr="002C6EC1">
        <w:rPr>
          <w:szCs w:val="24"/>
        </w:rPr>
        <w:t xml:space="preserve">Papildināt Pielikumu </w:t>
      </w:r>
      <w:r w:rsidRPr="002C6EC1">
        <w:rPr>
          <w:szCs w:val="24"/>
        </w:rPr>
        <w:t>N</w:t>
      </w:r>
      <w:r w:rsidRPr="002C6EC1">
        <w:rPr>
          <w:szCs w:val="24"/>
        </w:rPr>
        <w:t>r.3 “Zemes vienības ar statusu „Pašvaldībai piekritīgā zeme”” ar 49 zemes vienībām (pozīcijas no Nr.353 līdz Nr.401);</w:t>
      </w:r>
    </w:p>
    <w:p w:rsidR="001B399A" w:rsidRPr="002C6EC1" w:rsidRDefault="001B399A" w:rsidP="001B399A">
      <w:pPr>
        <w:pStyle w:val="Pamattekstaatkpe2"/>
        <w:numPr>
          <w:ilvl w:val="1"/>
          <w:numId w:val="1"/>
        </w:numPr>
        <w:tabs>
          <w:tab w:val="left" w:pos="840"/>
        </w:tabs>
        <w:jc w:val="both"/>
        <w:rPr>
          <w:b/>
          <w:bCs/>
          <w:szCs w:val="24"/>
        </w:rPr>
      </w:pPr>
      <w:r w:rsidRPr="002C6EC1">
        <w:rPr>
          <w:szCs w:val="24"/>
        </w:rPr>
        <w:t>Papildināt Pielikumu</w:t>
      </w:r>
      <w:r w:rsidRPr="002C6EC1">
        <w:rPr>
          <w:szCs w:val="24"/>
        </w:rPr>
        <w:t xml:space="preserve"> </w:t>
      </w:r>
      <w:r w:rsidRPr="002C6EC1">
        <w:rPr>
          <w:szCs w:val="24"/>
        </w:rPr>
        <w:t>Nr.7 “Zemes vienības ar statusu „Rezerves zemes fonds” ar 16 zemes vienībām (pozīcijas no Nr.63 līdz Nr.78).</w:t>
      </w:r>
    </w:p>
    <w:p w:rsidR="001B399A" w:rsidRPr="002C6EC1" w:rsidRDefault="001B399A" w:rsidP="001B399A">
      <w:pPr>
        <w:pStyle w:val="Pamattekstaatkpe2"/>
        <w:numPr>
          <w:ilvl w:val="0"/>
          <w:numId w:val="1"/>
        </w:numPr>
        <w:jc w:val="both"/>
        <w:rPr>
          <w:b/>
          <w:bCs/>
          <w:szCs w:val="24"/>
        </w:rPr>
      </w:pPr>
      <w:r w:rsidRPr="002C6EC1">
        <w:rPr>
          <w:b/>
          <w:szCs w:val="24"/>
        </w:rPr>
        <w:t>Uzdot</w:t>
      </w:r>
      <w:r w:rsidRPr="002C6EC1">
        <w:rPr>
          <w:szCs w:val="24"/>
        </w:rPr>
        <w:t xml:space="preserve"> dokumentu pārvaldības nodaļai lēmumu nosūtīt Valsts zemes dienesta Rīgas reģionālās nodaļai.</w:t>
      </w:r>
    </w:p>
    <w:p w:rsidR="001B399A" w:rsidRPr="002C6EC1" w:rsidRDefault="001B399A" w:rsidP="001B399A">
      <w:pPr>
        <w:pStyle w:val="Pamattekstaatkpe2"/>
        <w:numPr>
          <w:ilvl w:val="0"/>
          <w:numId w:val="1"/>
        </w:numPr>
        <w:jc w:val="both"/>
        <w:rPr>
          <w:b/>
          <w:bCs/>
          <w:szCs w:val="24"/>
        </w:rPr>
      </w:pPr>
      <w:r w:rsidRPr="002C6EC1">
        <w:rPr>
          <w:b/>
          <w:szCs w:val="24"/>
        </w:rPr>
        <w:t>Kontroli</w:t>
      </w:r>
      <w:r w:rsidRPr="002C6EC1">
        <w:rPr>
          <w:szCs w:val="24"/>
        </w:rPr>
        <w:t xml:space="preserve"> par lēmuma izpildi uzdot pašvaldības izpilddirektora pirmajam vietniekam.</w:t>
      </w:r>
    </w:p>
    <w:p w:rsidR="001B399A" w:rsidRPr="002C6EC1" w:rsidRDefault="001B399A" w:rsidP="001B399A">
      <w:pPr>
        <w:pStyle w:val="Pamattekstaatkpe2"/>
        <w:ind w:left="360"/>
        <w:rPr>
          <w:b/>
          <w:bCs/>
          <w:szCs w:val="24"/>
        </w:rPr>
      </w:pPr>
    </w:p>
    <w:p w:rsidR="009E0DA0" w:rsidRDefault="009E0DA0"/>
    <w:sectPr w:rsidR="009E0D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A25DF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9A"/>
    <w:rsid w:val="001B399A"/>
    <w:rsid w:val="009E0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3425A-887F-448F-9C2C-91A71EAD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399A"/>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1B399A"/>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1B399A"/>
    <w:rPr>
      <w:rFonts w:ascii="Arial" w:eastAsia="Times New Roman" w:hAnsi="Arial" w:cs="Times New Roman"/>
      <w:sz w:val="24"/>
      <w:szCs w:val="20"/>
      <w:lang w:val="en-US"/>
    </w:rPr>
  </w:style>
  <w:style w:type="paragraph" w:styleId="Pamattekstaatkpe2">
    <w:name w:val="Body Text Indent 2"/>
    <w:basedOn w:val="Parasts"/>
    <w:link w:val="Pamattekstaatkpe2Rakstz"/>
    <w:rsid w:val="001B399A"/>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1B399A"/>
    <w:rPr>
      <w:rFonts w:ascii="Times New Roman" w:eastAsia="Times New Roman" w:hAnsi="Times New Roman" w:cs="Times New Roman"/>
      <w:sz w:val="24"/>
      <w:szCs w:val="20"/>
    </w:rPr>
  </w:style>
  <w:style w:type="paragraph" w:styleId="Pamattekstsaratkpi">
    <w:name w:val="Body Text Indent"/>
    <w:basedOn w:val="Parasts"/>
    <w:link w:val="PamattekstsaratkpiRakstz"/>
    <w:rsid w:val="001B399A"/>
    <w:pPr>
      <w:ind w:firstLine="218"/>
      <w:jc w:val="both"/>
    </w:pPr>
    <w:rPr>
      <w:rFonts w:cs="Times New Roman"/>
      <w:iCs w:val="0"/>
      <w:color w:val="auto"/>
    </w:rPr>
  </w:style>
  <w:style w:type="character" w:customStyle="1" w:styleId="PamattekstsaratkpiRakstz">
    <w:name w:val="Pamatteksts ar atkāpi Rakstz."/>
    <w:basedOn w:val="Noklusjumarindkopasfonts"/>
    <w:link w:val="Pamattekstsaratkpi"/>
    <w:rsid w:val="001B399A"/>
    <w:rPr>
      <w:rFonts w:ascii="Times New Roman" w:eastAsia="Times New Roman" w:hAnsi="Times New Roman" w:cs="Times New Roman"/>
      <w:sz w:val="24"/>
      <w:szCs w:val="20"/>
    </w:rPr>
  </w:style>
  <w:style w:type="paragraph" w:customStyle="1" w:styleId="naisf">
    <w:name w:val="naisf"/>
    <w:basedOn w:val="Parasts"/>
    <w:link w:val="naisfChar"/>
    <w:rsid w:val="001B399A"/>
    <w:pPr>
      <w:spacing w:before="100" w:beforeAutospacing="1" w:after="100" w:afterAutospacing="1"/>
    </w:pPr>
    <w:rPr>
      <w:rFonts w:ascii="Arial Unicode MS" w:hAnsi="Arial Unicode MS" w:cs="Times New Roman"/>
      <w:iCs w:val="0"/>
      <w:color w:val="auto"/>
      <w:lang w:val="en-GB"/>
    </w:rPr>
  </w:style>
  <w:style w:type="paragraph" w:customStyle="1" w:styleId="WW-Default">
    <w:name w:val="WW-Default"/>
    <w:uiPriority w:val="99"/>
    <w:rsid w:val="001B399A"/>
    <w:pPr>
      <w:suppressAutoHyphens/>
      <w:autoSpaceDE w:val="0"/>
      <w:spacing w:after="0" w:line="240" w:lineRule="auto"/>
    </w:pPr>
    <w:rPr>
      <w:rFonts w:ascii="Times New Roman" w:eastAsia="Times New Roman" w:hAnsi="Times New Roman" w:cs="Times New Roman"/>
      <w:color w:val="000000"/>
      <w:kern w:val="1"/>
      <w:sz w:val="24"/>
      <w:szCs w:val="24"/>
      <w:lang w:eastAsia="zh-CN"/>
    </w:rPr>
  </w:style>
  <w:style w:type="character" w:customStyle="1" w:styleId="naisfChar">
    <w:name w:val="naisf Char"/>
    <w:link w:val="naisf"/>
    <w:locked/>
    <w:rsid w:val="001B399A"/>
    <w:rPr>
      <w:rFonts w:ascii="Arial Unicode MS" w:eastAsia="Times New Roman" w:hAnsi="Arial Unicode M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831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2015-04-08T16:22:00Z</dcterms:created>
  <dcterms:modified xsi:type="dcterms:W3CDTF">2015-04-08T16:22:00Z</dcterms:modified>
</cp:coreProperties>
</file>