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EF" w:rsidRDefault="00F84AEF" w:rsidP="00F84AEF">
      <w:pPr>
        <w:ind w:left="-142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9</w:t>
      </w:r>
      <w:r w:rsidRPr="009F6E61">
        <w:rPr>
          <w:b/>
          <w:bCs/>
          <w:lang w:val="lv-LV"/>
        </w:rPr>
        <w:t>.§</w:t>
      </w:r>
    </w:p>
    <w:p w:rsidR="00F84AEF" w:rsidRPr="009F6E61" w:rsidRDefault="00F84AEF" w:rsidP="00F84AEF">
      <w:pPr>
        <w:ind w:left="-142"/>
        <w:jc w:val="center"/>
        <w:rPr>
          <w:b/>
          <w:bCs/>
          <w:lang w:val="lv-LV"/>
        </w:rPr>
      </w:pPr>
    </w:p>
    <w:p w:rsidR="00F84AEF" w:rsidRPr="009F6E61" w:rsidRDefault="00F84AEF" w:rsidP="00F84AEF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u w:val="single"/>
          <w:lang w:val="lv-LV"/>
        </w:rPr>
      </w:pPr>
      <w:r w:rsidRPr="009F6E61">
        <w:rPr>
          <w:rFonts w:ascii="Times New Roman" w:hAnsi="Times New Roman" w:cs="Times New Roman"/>
          <w:i w:val="0"/>
          <w:sz w:val="24"/>
          <w:szCs w:val="24"/>
          <w:u w:val="single"/>
          <w:lang w:val="lv-LV"/>
        </w:rPr>
        <w:t xml:space="preserve">Par detālplānojuma nekustamajā īpašumā „Kucēni” Ogres novada Suntažu pagastā, redakcijas nodošanu publiskajai apspriešanai 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lv-LV"/>
        </w:rPr>
        <w:t>un institūciju atzinumu saņ</w:t>
      </w:r>
      <w:r w:rsidRPr="009F6E61">
        <w:rPr>
          <w:rFonts w:ascii="Times New Roman" w:hAnsi="Times New Roman" w:cs="Times New Roman"/>
          <w:i w:val="0"/>
          <w:sz w:val="24"/>
          <w:szCs w:val="24"/>
          <w:u w:val="single"/>
          <w:lang w:val="lv-LV"/>
        </w:rPr>
        <w:t xml:space="preserve">emšanai   </w:t>
      </w:r>
    </w:p>
    <w:p w:rsidR="00F84AEF" w:rsidRPr="009F6E61" w:rsidRDefault="00F84AEF" w:rsidP="00F84AEF">
      <w:pPr>
        <w:jc w:val="both"/>
        <w:rPr>
          <w:lang w:val="lv-LV"/>
        </w:rPr>
      </w:pPr>
      <w:r w:rsidRPr="009F6E61">
        <w:rPr>
          <w:lang w:val="lv-LV"/>
        </w:rPr>
        <w:tab/>
      </w:r>
    </w:p>
    <w:p w:rsidR="00F84AEF" w:rsidRPr="009F6E61" w:rsidRDefault="00F84AEF" w:rsidP="00F84AEF">
      <w:pPr>
        <w:jc w:val="both"/>
        <w:rPr>
          <w:sz w:val="16"/>
          <w:szCs w:val="16"/>
          <w:lang w:val="lv-LV"/>
        </w:rPr>
      </w:pPr>
    </w:p>
    <w:p w:rsidR="00F84AEF" w:rsidRPr="009F6E61" w:rsidRDefault="00F84AEF" w:rsidP="00F84AEF">
      <w:pPr>
        <w:shd w:val="clear" w:color="auto" w:fill="FFFFFF"/>
        <w:jc w:val="both"/>
        <w:rPr>
          <w:rFonts w:ascii="Verdana" w:hAnsi="Verdana"/>
          <w:b/>
          <w:bCs/>
          <w:sz w:val="28"/>
          <w:szCs w:val="28"/>
          <w:lang w:val="lv-LV"/>
        </w:rPr>
      </w:pPr>
      <w:r w:rsidRPr="009F6E61">
        <w:rPr>
          <w:lang w:val="lv-LV"/>
        </w:rPr>
        <w:t xml:space="preserve">          Iepazīstoties ar nekustamā īpašuma „Kucēni” Ogres novada Suntažu pagastā detālplānojuma izstrādātāja SIA „Pašvaldību ekonomiskās attīstības fonds” 2014. gada 31.</w:t>
      </w:r>
      <w:r>
        <w:rPr>
          <w:lang w:val="lv-LV"/>
        </w:rPr>
        <w:t xml:space="preserve"> </w:t>
      </w:r>
      <w:r w:rsidRPr="009F6E61">
        <w:rPr>
          <w:lang w:val="lv-LV"/>
        </w:rPr>
        <w:t>oktobra iesniegumu (</w:t>
      </w:r>
      <w:proofErr w:type="spellStart"/>
      <w:r w:rsidRPr="009F6E61">
        <w:rPr>
          <w:lang w:val="lv-LV"/>
        </w:rPr>
        <w:t>Reģ</w:t>
      </w:r>
      <w:proofErr w:type="spellEnd"/>
      <w:r w:rsidRPr="009F6E61">
        <w:rPr>
          <w:lang w:val="lv-LV"/>
        </w:rPr>
        <w:t>. Nr. 75/16-1.1) un tam pielikumā pievienoto detālplānojuma redakcijas projektu, pamatojoties uz Teritorijas attīstības plānošanas likuma 12.</w:t>
      </w:r>
      <w:r>
        <w:rPr>
          <w:lang w:val="lv-LV"/>
        </w:rPr>
        <w:t xml:space="preserve"> </w:t>
      </w:r>
      <w:r w:rsidRPr="009F6E61">
        <w:rPr>
          <w:lang w:val="lv-LV"/>
        </w:rPr>
        <w:t xml:space="preserve">panta pirmo daļu un </w:t>
      </w:r>
      <w:r>
        <w:rPr>
          <w:lang w:val="lv-LV"/>
        </w:rPr>
        <w:t>Ministru k</w:t>
      </w:r>
      <w:r w:rsidRPr="009F6E61">
        <w:rPr>
          <w:lang w:val="lv-LV"/>
        </w:rPr>
        <w:t>abineta 16.10.2012. noteikumu Nr.711 “</w:t>
      </w:r>
      <w:r w:rsidRPr="009F6E61">
        <w:rPr>
          <w:i/>
          <w:lang w:val="lv-LV"/>
        </w:rPr>
        <w:t>Noteikumi par pašvaldību teritorijas attīstības plānošanas dokumentiem</w:t>
      </w:r>
      <w:r w:rsidRPr="009F6E61">
        <w:rPr>
          <w:i/>
          <w:iCs/>
          <w:lang w:val="lv-LV"/>
        </w:rPr>
        <w:t xml:space="preserve">” </w:t>
      </w:r>
      <w:r>
        <w:rPr>
          <w:lang w:val="lv-LV"/>
        </w:rPr>
        <w:t>108.1.</w:t>
      </w:r>
      <w:r w:rsidRPr="009F6E61">
        <w:rPr>
          <w:lang w:val="lv-LV"/>
        </w:rPr>
        <w:t>apakšpunktu, kā arī atzinumu par iesniegto detālplānojumu, (</w:t>
      </w:r>
      <w:hyperlink r:id="rId5" w:history="1">
        <w:r w:rsidRPr="002936B9">
          <w:rPr>
            <w:rStyle w:val="Hipersaite"/>
            <w:lang w:val="lv-LV"/>
          </w:rPr>
          <w:t>pielikums Nr.1</w:t>
        </w:r>
      </w:hyperlink>
      <w:bookmarkStart w:id="0" w:name="_GoBack"/>
      <w:bookmarkEnd w:id="0"/>
      <w:r w:rsidRPr="009F6E61">
        <w:rPr>
          <w:lang w:val="lv-LV"/>
        </w:rPr>
        <w:t>)</w:t>
      </w:r>
      <w:r>
        <w:rPr>
          <w:lang w:val="lv-LV"/>
        </w:rPr>
        <w:t>,</w:t>
      </w:r>
    </w:p>
    <w:p w:rsidR="00F84AEF" w:rsidRPr="009F6E61" w:rsidRDefault="00F84AEF" w:rsidP="00F84AEF">
      <w:pPr>
        <w:pStyle w:val="Pamatteksts"/>
        <w:ind w:right="17"/>
        <w:rPr>
          <w:rFonts w:ascii="Times New Roman" w:hAnsi="Times New Roman"/>
          <w:b/>
          <w:bCs/>
          <w:sz w:val="16"/>
          <w:szCs w:val="16"/>
        </w:rPr>
      </w:pPr>
    </w:p>
    <w:p w:rsidR="00F84AEF" w:rsidRDefault="00F84AEF" w:rsidP="00F84AEF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17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A.Ceplītis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V.Pūķe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L.Strelkova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F84AEF" w:rsidRPr="00E42ACE" w:rsidRDefault="00F84AEF" w:rsidP="00F84AEF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  <w:r>
        <w:t>Ogres novada dome</w:t>
      </w:r>
      <w:r>
        <w:rPr>
          <w:b/>
        </w:rPr>
        <w:t xml:space="preserve">  NOLEMJ:</w:t>
      </w:r>
    </w:p>
    <w:p w:rsidR="00F84AEF" w:rsidRPr="009F6E61" w:rsidRDefault="00F84AEF" w:rsidP="00F84AEF">
      <w:pPr>
        <w:rPr>
          <w:sz w:val="16"/>
          <w:lang w:val="lv-LV"/>
        </w:rPr>
      </w:pPr>
    </w:p>
    <w:p w:rsidR="00F84AEF" w:rsidRPr="009F6E61" w:rsidRDefault="00F84AEF" w:rsidP="00F84AEF">
      <w:pPr>
        <w:pStyle w:val="Pamattekstsaratkpi"/>
        <w:jc w:val="both"/>
        <w:rPr>
          <w:sz w:val="16"/>
        </w:rPr>
      </w:pPr>
    </w:p>
    <w:p w:rsidR="00F84AEF" w:rsidRPr="009F6E61" w:rsidRDefault="00F84AEF" w:rsidP="00F84AEF">
      <w:pPr>
        <w:pStyle w:val="Pamattekstsaratkpi"/>
        <w:numPr>
          <w:ilvl w:val="0"/>
          <w:numId w:val="1"/>
        </w:numPr>
        <w:jc w:val="both"/>
      </w:pPr>
      <w:r w:rsidRPr="009F6E61">
        <w:t xml:space="preserve">Nodot </w:t>
      </w:r>
      <w:r w:rsidRPr="00171DD1">
        <w:t>detālplānojuma projektu</w:t>
      </w:r>
      <w:r w:rsidRPr="009F6E61">
        <w:t xml:space="preserve"> nekustamajā īpašumā „Kucēni” Ogres novada Suntažu pagastā, apspriešanai un institūciju atzinumu saņemšanai, nosakot publiskās apspriešanas termiņu no 2015. gada 29. janvāra līdz 25. februārim.</w:t>
      </w:r>
    </w:p>
    <w:p w:rsidR="00F84AEF" w:rsidRPr="009F6E61" w:rsidRDefault="00F84AEF" w:rsidP="00F84AEF">
      <w:pPr>
        <w:pStyle w:val="Pamattekstsaratkpi"/>
        <w:numPr>
          <w:ilvl w:val="0"/>
          <w:numId w:val="1"/>
        </w:numPr>
        <w:jc w:val="both"/>
      </w:pPr>
      <w:r w:rsidRPr="009F6E61">
        <w:t>Kontroli par lēmuma izpildi uzdot Suntaž</w:t>
      </w:r>
      <w:r>
        <w:t xml:space="preserve">u pagasta pārvaldes vadītājam Andrim </w:t>
      </w:r>
      <w:r w:rsidRPr="009F6E61">
        <w:t>Ronim.</w:t>
      </w:r>
    </w:p>
    <w:p w:rsidR="00F84AEF" w:rsidRPr="009F6E61" w:rsidRDefault="00F84AEF" w:rsidP="00F84AEF">
      <w:pPr>
        <w:pStyle w:val="Pamattekstaatkpe2"/>
        <w:ind w:left="2880" w:firstLine="0"/>
        <w:jc w:val="right"/>
      </w:pPr>
    </w:p>
    <w:p w:rsidR="00F84AEF" w:rsidRPr="009F6E61" w:rsidRDefault="00F84AEF" w:rsidP="00F84AEF">
      <w:pPr>
        <w:pStyle w:val="Pamattekstaatkpe2"/>
        <w:ind w:left="2880" w:firstLine="0"/>
        <w:jc w:val="right"/>
      </w:pPr>
      <w:r w:rsidRPr="009F6E61">
        <w:t xml:space="preserve"> (Sēdes vadītāja, </w:t>
      </w:r>
    </w:p>
    <w:p w:rsidR="00F84AEF" w:rsidRPr="009F6E61" w:rsidRDefault="00F84AEF" w:rsidP="00F84AEF">
      <w:pPr>
        <w:pStyle w:val="Pamattekstaatkpe2"/>
        <w:ind w:left="2880" w:firstLine="0"/>
        <w:jc w:val="right"/>
      </w:pPr>
      <w:r w:rsidRPr="009F6E61">
        <w:t xml:space="preserve">domes priekšsēdētāja </w:t>
      </w:r>
      <w:proofErr w:type="spellStart"/>
      <w:r w:rsidRPr="009F6E61">
        <w:t>A.Manguļa</w:t>
      </w:r>
      <w:proofErr w:type="spellEnd"/>
      <w:r w:rsidRPr="009F6E61">
        <w:t xml:space="preserve"> paraksts)</w:t>
      </w:r>
    </w:p>
    <w:p w:rsidR="00F84AEF" w:rsidRPr="009F6E61" w:rsidRDefault="00F84AEF" w:rsidP="00F84AEF">
      <w:pPr>
        <w:pStyle w:val="Pamattekstsaratkpi"/>
        <w:ind w:left="0" w:firstLine="0"/>
        <w:jc w:val="both"/>
      </w:pPr>
      <w:r w:rsidRPr="009F6E61">
        <w:t xml:space="preserve">             </w:t>
      </w:r>
    </w:p>
    <w:p w:rsidR="00F84AEF" w:rsidRPr="009F6E61" w:rsidRDefault="00F84AEF" w:rsidP="00F84AEF">
      <w:pPr>
        <w:pStyle w:val="Pamattekstsaratkpi"/>
        <w:ind w:left="0" w:firstLine="0"/>
        <w:jc w:val="both"/>
      </w:pPr>
    </w:p>
    <w:p w:rsidR="00F84AEF" w:rsidRPr="00EB35B1" w:rsidRDefault="00F84AEF" w:rsidP="00F84AEF">
      <w:pPr>
        <w:pStyle w:val="Pamattekstsaratkpi"/>
        <w:ind w:left="0" w:firstLine="0"/>
        <w:jc w:val="both"/>
        <w:rPr>
          <w:i/>
        </w:rPr>
      </w:pPr>
      <w:r>
        <w:rPr>
          <w:i/>
        </w:rPr>
        <w:t>Lēmums stāja</w:t>
      </w:r>
      <w:r w:rsidRPr="00EB35B1">
        <w:rPr>
          <w:i/>
        </w:rPr>
        <w:t xml:space="preserve">s spēkā </w:t>
      </w:r>
      <w:r>
        <w:rPr>
          <w:i/>
        </w:rPr>
        <w:t>ar 23.01.2015.</w:t>
      </w:r>
    </w:p>
    <w:p w:rsidR="007E3176" w:rsidRDefault="007E3176" w:rsidP="00F84AEF"/>
    <w:sectPr w:rsidR="007E3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F5F38"/>
    <w:multiLevelType w:val="hybridMultilevel"/>
    <w:tmpl w:val="E1762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EF"/>
    <w:rsid w:val="002936B9"/>
    <w:rsid w:val="007E3176"/>
    <w:rsid w:val="00F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6080C8-E218-4F83-AEA1-73EE9972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8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F84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84AE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rsid w:val="00F84AEF"/>
    <w:pPr>
      <w:ind w:right="4536"/>
      <w:jc w:val="both"/>
    </w:pPr>
    <w:rPr>
      <w:rFonts w:ascii="RimTimes" w:hAnsi="RimTimes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84AEF"/>
    <w:rPr>
      <w:rFonts w:ascii="RimTimes" w:eastAsia="Times New Roman" w:hAnsi="RimTimes" w:cs="Times New Roman"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F84AEF"/>
    <w:pPr>
      <w:ind w:left="180" w:hanging="180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84AEF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F84AEF"/>
    <w:pPr>
      <w:ind w:firstLine="360"/>
      <w:jc w:val="both"/>
    </w:pPr>
    <w:rPr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F84AEF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F84AEF"/>
    <w:pPr>
      <w:spacing w:before="75" w:after="75"/>
      <w:ind w:firstLine="375"/>
      <w:jc w:val="both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293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par_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2015-01-26T15:46:00Z</dcterms:created>
  <dcterms:modified xsi:type="dcterms:W3CDTF">2015-01-26T15:46:00Z</dcterms:modified>
</cp:coreProperties>
</file>