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A09" w:rsidRDefault="003A7A09" w:rsidP="003A7A09">
      <w:pPr>
        <w:jc w:val="center"/>
        <w:rPr>
          <w:b/>
          <w:lang w:val="lv-LV"/>
        </w:rPr>
      </w:pPr>
      <w:r>
        <w:rPr>
          <w:b/>
          <w:lang w:val="lv-LV"/>
        </w:rPr>
        <w:t>36</w:t>
      </w:r>
      <w:r w:rsidRPr="00011A8E">
        <w:rPr>
          <w:b/>
          <w:lang w:val="lv-LV"/>
        </w:rPr>
        <w:t>.§</w:t>
      </w:r>
    </w:p>
    <w:p w:rsidR="003A7A09" w:rsidRPr="00011A8E" w:rsidRDefault="003A7A09" w:rsidP="003A7A09">
      <w:pPr>
        <w:jc w:val="center"/>
        <w:rPr>
          <w:b/>
          <w:lang w:val="lv-LV"/>
        </w:rPr>
      </w:pPr>
    </w:p>
    <w:p w:rsidR="003A7A09" w:rsidRPr="00011A8E" w:rsidRDefault="003A7A09" w:rsidP="003A7A09">
      <w:pPr>
        <w:pStyle w:val="Virsraksts1"/>
        <w:ind w:left="0"/>
      </w:pPr>
      <w:r w:rsidRPr="00011A8E">
        <w:t>Par Ogres novada pašvaldībai piederoša zemes gabala Pulkveža Brieža iela 2B, Ogre, Ogres nov., atsavināšanu</w:t>
      </w:r>
    </w:p>
    <w:p w:rsidR="003A7A09" w:rsidRPr="00011A8E" w:rsidRDefault="003A7A09" w:rsidP="003A7A09">
      <w:pPr>
        <w:rPr>
          <w:lang w:val="lv-LV"/>
        </w:rPr>
      </w:pPr>
    </w:p>
    <w:p w:rsidR="003A7A09" w:rsidRPr="00011A8E" w:rsidRDefault="003A7A09" w:rsidP="003A7A09">
      <w:pPr>
        <w:pStyle w:val="Pamatteksts"/>
        <w:numPr>
          <w:ilvl w:val="0"/>
          <w:numId w:val="1"/>
        </w:numPr>
      </w:pPr>
      <w:r w:rsidRPr="00011A8E">
        <w:t xml:space="preserve">21.10.2014. Ogres novada pašvaldībā tika saņemts </w:t>
      </w:r>
      <w:r w:rsidRPr="00BD7A51">
        <w:t>SIA „Latvijas Mobilais Telefons”, Reģ.Nr.50003050931, iesniegums</w:t>
      </w:r>
      <w:r w:rsidRPr="00011A8E">
        <w:t xml:space="preserve"> ar lūgumu atsavināt viņiem zemes gabalu Pulkveža Brieža ielā 2B, Ogrē, Ogres nov., kadastra Nr.7401 001 0632 uz kura atrodas SIA „Latvijas Mobilais Telefons” piederošā būve ar kadastra apzīmējumu Nr.7401 001 0632 001.</w:t>
      </w:r>
    </w:p>
    <w:p w:rsidR="003A7A09" w:rsidRPr="00011A8E" w:rsidRDefault="003A7A09" w:rsidP="003A7A09">
      <w:pPr>
        <w:pStyle w:val="Paraststmeklis"/>
        <w:numPr>
          <w:ilvl w:val="0"/>
          <w:numId w:val="1"/>
        </w:numPr>
        <w:spacing w:before="0" w:beforeAutospacing="0" w:after="0" w:afterAutospacing="0"/>
        <w:jc w:val="both"/>
      </w:pPr>
      <w:r w:rsidRPr="00011A8E">
        <w:t>Zemes gabals Pulkveža Brieža ielā 2B, Ogrē,</w:t>
      </w:r>
      <w:r>
        <w:t xml:space="preserve"> Ogres nov., </w:t>
      </w:r>
      <w:r w:rsidRPr="00011A8E">
        <w:t>230 m</w:t>
      </w:r>
      <w:r w:rsidRPr="00011A8E">
        <w:rPr>
          <w:vertAlign w:val="superscript"/>
        </w:rPr>
        <w:t>2</w:t>
      </w:r>
      <w:r w:rsidRPr="00011A8E">
        <w:t xml:space="preserve"> platībā (turpmāk – zemes gabals) ierakstīts Ogres pilsētas zemesgrāmatas nodalījumā Nr.</w:t>
      </w:r>
      <w:r w:rsidRPr="00011A8E">
        <w:rPr>
          <w:bCs/>
        </w:rPr>
        <w:t>100000473463</w:t>
      </w:r>
      <w:r w:rsidRPr="00011A8E">
        <w:t>, īpašuma tiesības nostiprinātas Ogres novada pašvaldībai;</w:t>
      </w:r>
    </w:p>
    <w:p w:rsidR="003A7A09" w:rsidRPr="00011A8E" w:rsidRDefault="003A7A09" w:rsidP="003A7A09">
      <w:pPr>
        <w:pStyle w:val="Pamatteksts"/>
        <w:numPr>
          <w:ilvl w:val="0"/>
          <w:numId w:val="1"/>
        </w:numPr>
        <w:rPr>
          <w:u w:val="single"/>
        </w:rPr>
      </w:pPr>
      <w:r w:rsidRPr="00011A8E">
        <w:t>LR likuma “Par pašvaldībām” 77. panta otrā daļā noteikts, ka “pašvaldības īpašums izmantojams attiecīgās administratīvās teritorijas iedzīvotāju vajadzību apmierināšanai,…”, bet iepriekš minētā panta ceturtās daļas noteikumi paredz, ka: ”to īpašuma daļu, kas nav nepieciešama iepriekšminētajiem nolūkiem pašvaldība var……</w:t>
      </w:r>
      <w:r w:rsidRPr="00011A8E">
        <w:rPr>
          <w:u w:val="single"/>
        </w:rPr>
        <w:t>likumā noteiktajā kārtībā to privatizēt vai atsavināt”.</w:t>
      </w:r>
    </w:p>
    <w:p w:rsidR="003A7A09" w:rsidRPr="00011A8E" w:rsidRDefault="003A7A09" w:rsidP="003A7A09">
      <w:pPr>
        <w:pStyle w:val="Pamatteksts"/>
        <w:numPr>
          <w:ilvl w:val="0"/>
          <w:numId w:val="1"/>
        </w:numPr>
      </w:pPr>
      <w:r w:rsidRPr="00011A8E">
        <w:t xml:space="preserve">Publiskas personas mantas atsavināšanas likuma 4.panta pirmajā daļā noteikts, ka “….pašvaldības mantas atsavināšanu var ierosināt, ja tā nav nepieciešama attiecīgās pašvaldības iestādēm to funkciju nodrošināšanai”, bet minētā panta ceturtās daļas 3.punktā norādīts, ka “atsevišķos gadījumos publiskas personas nekustamā īpašuma atsavināšanu var ierosināt  </w:t>
      </w:r>
      <w:r w:rsidRPr="00011A8E">
        <w:rPr>
          <w:u w:val="single"/>
        </w:rPr>
        <w:t>zemesgrāmatā ierakstītas ēkas (būves) īpašnieks</w:t>
      </w:r>
      <w:r w:rsidRPr="00011A8E">
        <w:t xml:space="preserve"> vai visi kopīpašnieki, ja </w:t>
      </w:r>
      <w:r w:rsidRPr="00011A8E">
        <w:rPr>
          <w:u w:val="single"/>
        </w:rPr>
        <w:t>viņi vēlas nopirkt zemesgabalu, uz kura atrodas ēka (būve),</w:t>
      </w:r>
      <w:r w:rsidRPr="00011A8E">
        <w:t xml:space="preserve"> vai zemes starpgabalu, kas pieguļ šai zemei.” </w:t>
      </w:r>
    </w:p>
    <w:p w:rsidR="003A7A09" w:rsidRPr="00011A8E" w:rsidRDefault="003A7A09" w:rsidP="003A7A09">
      <w:pPr>
        <w:pStyle w:val="Pamattekstsaratkpi"/>
        <w:numPr>
          <w:ilvl w:val="0"/>
          <w:numId w:val="1"/>
        </w:numPr>
        <w:rPr>
          <w:i/>
          <w:iCs/>
        </w:rPr>
      </w:pPr>
      <w:r w:rsidRPr="00011A8E">
        <w:t>Publiskas personas mantas atsavināšanas likuma 5.panta pirmajā daļā noteikts, ka atļauju atsavināt atvasinātu publisku personu nekustamo īpašumu dod – attiecīgās atvasinātās publiskās personas lēmējinstitūcija. Pie kam, tā paša panta piektajā daļā norādīts, ka “</w:t>
      </w:r>
      <w:r w:rsidRPr="00011A8E">
        <w:rPr>
          <w:iCs/>
        </w:rPr>
        <w:t>lēmumā</w:t>
      </w:r>
      <w:r w:rsidRPr="00011A8E">
        <w:t xml:space="preserve"> </w:t>
      </w:r>
      <w:r w:rsidRPr="00011A8E">
        <w:rPr>
          <w:iCs/>
        </w:rPr>
        <w:t>par nekustamā īpašuma atsavināšanu tiek noteikts arī atsavināšanas veids un,  ja nepieciešams, nekustamā īpašuma turpmākās izmantošanas nosacījumi un samaksas kārtība.”</w:t>
      </w:r>
    </w:p>
    <w:p w:rsidR="003A7A09" w:rsidRPr="00011A8E" w:rsidRDefault="003A7A09" w:rsidP="003A7A09">
      <w:pPr>
        <w:ind w:left="720"/>
        <w:jc w:val="both"/>
        <w:rPr>
          <w:i/>
          <w:iCs/>
          <w:u w:val="single"/>
          <w:lang w:val="lv-LV"/>
        </w:rPr>
      </w:pPr>
      <w:r w:rsidRPr="00011A8E">
        <w:rPr>
          <w:lang w:val="lv-LV"/>
        </w:rPr>
        <w:t xml:space="preserve">Publiskas personas mantas atsavināšanas likuma 8. panta otrajā daļā noteikts, ka </w:t>
      </w:r>
      <w:r w:rsidRPr="00011A8E">
        <w:rPr>
          <w:u w:val="single"/>
          <w:lang w:val="lv-LV"/>
        </w:rPr>
        <w:t>attiecīgās pašvaldības dome organizē atsavināšanai paredzētā nekustamā īpašuma novērtēšanu</w:t>
      </w:r>
      <w:r w:rsidRPr="00011A8E">
        <w:rPr>
          <w:lang w:val="lv-LV"/>
        </w:rPr>
        <w:t xml:space="preserve">, un šim mērķim, saskaņā ar minētā panta sestās daļas noteikumiem izveido nekustamā īpašuma novērtēšanas komisiju, pie kam, </w:t>
      </w:r>
      <w:r w:rsidRPr="00011A8E">
        <w:rPr>
          <w:u w:val="single"/>
          <w:lang w:val="lv-LV"/>
        </w:rPr>
        <w:t xml:space="preserve">tās sastāvā pieaicinot vienu vai vairākus sertificētus vērtētājus </w:t>
      </w:r>
      <w:r w:rsidRPr="00011A8E">
        <w:rPr>
          <w:lang w:val="lv-LV"/>
        </w:rPr>
        <w:t xml:space="preserve"> un, pamatojoties uz šādas komisijas sniegto vērtējumu (iespējamās objektīvās vērtības veidā), </w:t>
      </w:r>
      <w:r w:rsidRPr="00011A8E">
        <w:rPr>
          <w:u w:val="single"/>
          <w:lang w:val="lv-LV"/>
        </w:rPr>
        <w:t>apstiprina atsavināmā īpašuma nosacīto cenu.</w:t>
      </w:r>
      <w:r w:rsidRPr="00011A8E">
        <w:rPr>
          <w:i/>
          <w:iCs/>
          <w:u w:val="single"/>
          <w:lang w:val="lv-LV"/>
        </w:rPr>
        <w:t xml:space="preserve"> </w:t>
      </w:r>
    </w:p>
    <w:p w:rsidR="003A7A09" w:rsidRPr="00011A8E" w:rsidRDefault="003A7A09" w:rsidP="003A7A09">
      <w:pPr>
        <w:numPr>
          <w:ilvl w:val="0"/>
          <w:numId w:val="1"/>
        </w:numPr>
        <w:jc w:val="both"/>
        <w:rPr>
          <w:lang w:val="lv-LV"/>
        </w:rPr>
      </w:pPr>
      <w:r w:rsidRPr="00011A8E">
        <w:rPr>
          <w:lang w:val="lv-LV"/>
        </w:rPr>
        <w:t xml:space="preserve">Nosakot Ogres novada pašvaldībai piederošā nekustamā īpašuma – zemes gabala Pulkveža Brieža ielā 2B, Ogrē, Ogres nov., atsavināšanas veidu, vērā ņemams otrais no Publiskas personas mantas atsavināšanas likuma 3.panta pirmajā daļā norādītajiem veidiem, t.i. “ </w:t>
      </w:r>
      <w:r w:rsidRPr="00011A8E">
        <w:rPr>
          <w:i/>
          <w:iCs/>
          <w:lang w:val="lv-LV"/>
        </w:rPr>
        <w:t>2) pārdodot par brīvu cenu</w:t>
      </w:r>
      <w:r w:rsidRPr="00011A8E">
        <w:rPr>
          <w:lang w:val="lv-LV"/>
        </w:rPr>
        <w:t>.”</w:t>
      </w:r>
    </w:p>
    <w:p w:rsidR="003A7A09" w:rsidRPr="00011A8E" w:rsidRDefault="003A7A09" w:rsidP="003A7A09">
      <w:pPr>
        <w:pStyle w:val="Pamattekstsaratkpi"/>
        <w:rPr>
          <w:i/>
          <w:iCs/>
          <w:u w:val="single"/>
        </w:rPr>
      </w:pPr>
      <w:r w:rsidRPr="00011A8E">
        <w:t xml:space="preserve">           Saskaņā ar iepriekš šā paša likuma 37.panta pirmās daļas 4.punkta noteikumiem, </w:t>
      </w:r>
      <w:r w:rsidRPr="00011A8E">
        <w:rPr>
          <w:u w:val="single"/>
        </w:rPr>
        <w:t>pārdot publiskas personas mantu par brīvu cenu var, ja: “</w:t>
      </w:r>
      <w:r w:rsidRPr="00011A8E">
        <w:rPr>
          <w:i/>
          <w:iCs/>
          <w:u w:val="single"/>
        </w:rPr>
        <w:t>nekustamo īpašumu iegūst šā likuma 4.panta ceturtajā daļā minētā persona. Šajā gadījumā pārdošanas cena ir vienāda ar nosacīto cenu (8.pants).</w:t>
      </w:r>
    </w:p>
    <w:p w:rsidR="003A7A09" w:rsidRPr="00011A8E" w:rsidRDefault="003A7A09" w:rsidP="003A7A09">
      <w:pPr>
        <w:pStyle w:val="Pamattekstsaratkpi"/>
        <w:numPr>
          <w:ilvl w:val="0"/>
          <w:numId w:val="1"/>
        </w:numPr>
        <w:rPr>
          <w:iCs/>
        </w:rPr>
      </w:pPr>
      <w:r w:rsidRPr="00011A8E">
        <w:t>Saskaņā ar SIA „Eiroeksperts” 24.11.2014. nekustamā īpašuma – zemes gabala Pulkveža Brieža ielā 2B, Ogrē, Ogres nov., novērtējumu šī īpašuma tirgus vērtība ir EUR 2800,00.</w:t>
      </w:r>
    </w:p>
    <w:p w:rsidR="003A7A09" w:rsidRPr="00011A8E" w:rsidRDefault="003A7A09" w:rsidP="003A7A09">
      <w:pPr>
        <w:pStyle w:val="Pamattekstsaratkpi"/>
      </w:pPr>
      <w:r w:rsidRPr="00011A8E">
        <w:t xml:space="preserve">           </w:t>
      </w:r>
      <w:r w:rsidRPr="00011A8E">
        <w:tab/>
      </w:r>
      <w:r w:rsidRPr="00011A8E">
        <w:tab/>
        <w:t xml:space="preserve">Pamatojoties uz augšminētajām likumdošanas normām un domes rīcībā esošo informāciju, kā arī noklausījusies Ogres novada pašvaldības jurista Alekseja Gapejeva paskaidrojumus, </w:t>
      </w:r>
    </w:p>
    <w:p w:rsidR="003A7A09" w:rsidRPr="00011A8E" w:rsidRDefault="003A7A09" w:rsidP="003A7A09">
      <w:pPr>
        <w:pStyle w:val="Pamattekstsaratkpi"/>
      </w:pPr>
    </w:p>
    <w:p w:rsidR="003A7A09" w:rsidRDefault="003A7A09" w:rsidP="003A7A09">
      <w:pPr>
        <w:pStyle w:val="naisf"/>
        <w:spacing w:before="0" w:after="0"/>
        <w:ind w:firstLine="0"/>
        <w:jc w:val="center"/>
        <w:rPr>
          <w:bCs/>
        </w:rPr>
      </w:pPr>
      <w:r>
        <w:rPr>
          <w:b/>
        </w:rPr>
        <w:t xml:space="preserve">balsojot: PAR – </w:t>
      </w:r>
      <w:r>
        <w:rPr>
          <w:bCs/>
        </w:rPr>
        <w:t>15 balsis (E.Bartkevičs, A.Ceplītis, E.Dzelzītis, V.Gaile, E.Helmanis, R.Javoišs, S.Kirhnere, J.Laizāns, M.Legzdiņš, A.Mangulis, Dz.Mozule, V.Pūķe, M.Siliņš, L.Strelkova, I.Tamane)</w:t>
      </w:r>
      <w:r>
        <w:t xml:space="preserve">, </w:t>
      </w:r>
      <w:r>
        <w:rPr>
          <w:b/>
        </w:rPr>
        <w:t xml:space="preserve">PRET </w:t>
      </w:r>
      <w:r>
        <w:rPr>
          <w:bCs/>
        </w:rPr>
        <w:t>– nav,</w:t>
      </w:r>
      <w:r>
        <w:t xml:space="preserve"> </w:t>
      </w:r>
      <w:r>
        <w:rPr>
          <w:b/>
        </w:rPr>
        <w:t xml:space="preserve">ATTURAS </w:t>
      </w:r>
      <w:r>
        <w:rPr>
          <w:bCs/>
        </w:rPr>
        <w:t>– nav,</w:t>
      </w:r>
    </w:p>
    <w:p w:rsidR="003A7A09" w:rsidRDefault="003A7A09" w:rsidP="003A7A09">
      <w:pPr>
        <w:pStyle w:val="naisf"/>
        <w:spacing w:before="0" w:after="0"/>
        <w:ind w:firstLine="0"/>
        <w:jc w:val="center"/>
        <w:rPr>
          <w:b/>
        </w:rPr>
      </w:pPr>
      <w:r>
        <w:t>Ogres novada dome</w:t>
      </w:r>
      <w:r>
        <w:rPr>
          <w:b/>
        </w:rPr>
        <w:t xml:space="preserve"> NOLEMJ:</w:t>
      </w:r>
    </w:p>
    <w:p w:rsidR="003A7A09" w:rsidRPr="00011A8E" w:rsidRDefault="003A7A09" w:rsidP="003A7A09">
      <w:pPr>
        <w:pStyle w:val="Pamattekstsaratkpi"/>
      </w:pPr>
    </w:p>
    <w:p w:rsidR="003A7A09" w:rsidRPr="00011A8E" w:rsidRDefault="003A7A09" w:rsidP="003A7A09">
      <w:pPr>
        <w:pStyle w:val="Pamattekstsaratkpi"/>
        <w:numPr>
          <w:ilvl w:val="0"/>
          <w:numId w:val="2"/>
        </w:numPr>
      </w:pPr>
      <w:r w:rsidRPr="00011A8E">
        <w:rPr>
          <w:b/>
          <w:bCs/>
        </w:rPr>
        <w:t>Atsavināt</w:t>
      </w:r>
      <w:r w:rsidRPr="00011A8E">
        <w:t xml:space="preserve"> Ogres novada pašvaldībai piederošu nekustamu īpašumu –</w:t>
      </w:r>
      <w:r>
        <w:t xml:space="preserve"> </w:t>
      </w:r>
      <w:r w:rsidRPr="00011A8E">
        <w:t>emes gabalu Pulkveža Brieža ielā 2B, Ogrē, Ogres nov., ar platību 230 m</w:t>
      </w:r>
      <w:r w:rsidRPr="00011A8E">
        <w:rPr>
          <w:vertAlign w:val="superscript"/>
        </w:rPr>
        <w:t>2</w:t>
      </w:r>
      <w:r w:rsidRPr="00011A8E">
        <w:t>, sakarā ar to, ka iepriekš minētais domes īpašums nav nepieciešams pašvaldībai un tai pakļautajām institūcijām tām noteikto funkciju izpildes nodrošināšanai.</w:t>
      </w:r>
    </w:p>
    <w:p w:rsidR="003A7A09" w:rsidRPr="00011A8E" w:rsidRDefault="003A7A09" w:rsidP="003A7A09">
      <w:pPr>
        <w:numPr>
          <w:ilvl w:val="0"/>
          <w:numId w:val="2"/>
        </w:numPr>
        <w:jc w:val="both"/>
        <w:rPr>
          <w:b/>
          <w:bCs/>
          <w:lang w:val="lv-LV"/>
        </w:rPr>
      </w:pPr>
      <w:r w:rsidRPr="00011A8E">
        <w:rPr>
          <w:b/>
          <w:bCs/>
          <w:lang w:val="lv-LV"/>
        </w:rPr>
        <w:t>Apstiprināt</w:t>
      </w:r>
      <w:r w:rsidRPr="00011A8E">
        <w:rPr>
          <w:lang w:val="lv-LV"/>
        </w:rPr>
        <w:t xml:space="preserve"> Ogres novada pašvaldībai piederošā zemes gabala Pulkveža Brieža ielā 2B, Ogrē, Ogres nov., un platību 230m</w:t>
      </w:r>
      <w:r w:rsidRPr="00011A8E">
        <w:rPr>
          <w:vertAlign w:val="superscript"/>
          <w:lang w:val="lv-LV"/>
        </w:rPr>
        <w:t>2</w:t>
      </w:r>
      <w:r w:rsidRPr="00011A8E">
        <w:rPr>
          <w:lang w:val="lv-LV"/>
        </w:rPr>
        <w:t xml:space="preserve">  tirgus (objektīvo) vērtību </w:t>
      </w:r>
      <w:r w:rsidRPr="00011A8E">
        <w:rPr>
          <w:b/>
          <w:bCs/>
          <w:lang w:val="lv-LV"/>
        </w:rPr>
        <w:t xml:space="preserve">EUR 2800,00 </w:t>
      </w:r>
      <w:r w:rsidRPr="00011A8E">
        <w:rPr>
          <w:lang w:val="lv-LV"/>
        </w:rPr>
        <w:t xml:space="preserve">(divi tūkstoši astoņi simti </w:t>
      </w:r>
      <w:r w:rsidRPr="00011A8E">
        <w:rPr>
          <w:i/>
          <w:lang w:val="lv-LV"/>
        </w:rPr>
        <w:t>euro</w:t>
      </w:r>
      <w:r w:rsidRPr="00011A8E">
        <w:rPr>
          <w:lang w:val="lv-LV"/>
        </w:rPr>
        <w:t>).</w:t>
      </w:r>
    </w:p>
    <w:p w:rsidR="003A7A09" w:rsidRPr="00011A8E" w:rsidRDefault="003A7A09" w:rsidP="003A7A09">
      <w:pPr>
        <w:numPr>
          <w:ilvl w:val="0"/>
          <w:numId w:val="2"/>
        </w:numPr>
        <w:jc w:val="both"/>
        <w:rPr>
          <w:lang w:val="lv-LV"/>
        </w:rPr>
      </w:pPr>
      <w:r w:rsidRPr="00011A8E">
        <w:rPr>
          <w:b/>
          <w:bCs/>
          <w:lang w:val="lv-LV"/>
        </w:rPr>
        <w:t>Noteikt</w:t>
      </w:r>
      <w:r w:rsidRPr="00011A8E">
        <w:rPr>
          <w:lang w:val="lv-LV"/>
        </w:rPr>
        <w:t xml:space="preserve"> atsavināmā zemes gabala Pulkveža Brieža ielā 2B, Ogrē, Ogres nov., </w:t>
      </w:r>
      <w:r w:rsidRPr="00011A8E">
        <w:rPr>
          <w:b/>
          <w:bCs/>
          <w:lang w:val="lv-LV"/>
        </w:rPr>
        <w:t xml:space="preserve">pārdošanas cenu EUR 2950,00 </w:t>
      </w:r>
      <w:r w:rsidRPr="00011A8E">
        <w:rPr>
          <w:lang w:val="lv-LV"/>
        </w:rPr>
        <w:t xml:space="preserve">(divi tūkstoši deviņi simti piecdesmit </w:t>
      </w:r>
      <w:r w:rsidRPr="00AA041A">
        <w:rPr>
          <w:i/>
          <w:lang w:val="lv-LV"/>
        </w:rPr>
        <w:t>euro</w:t>
      </w:r>
      <w:r w:rsidRPr="00011A8E">
        <w:rPr>
          <w:lang w:val="lv-LV"/>
        </w:rPr>
        <w:t xml:space="preserve"> un 00 centi), kurā ietverta šī zemes gabala nosacītā cena un sertificētā nekustamo īpašumu vērtētāja darba apmaksai izlietotā summa.</w:t>
      </w:r>
    </w:p>
    <w:p w:rsidR="003A7A09" w:rsidRPr="00011A8E" w:rsidRDefault="003A7A09" w:rsidP="003A7A09">
      <w:pPr>
        <w:numPr>
          <w:ilvl w:val="0"/>
          <w:numId w:val="2"/>
        </w:numPr>
        <w:jc w:val="both"/>
        <w:rPr>
          <w:lang w:val="lv-LV"/>
        </w:rPr>
      </w:pPr>
      <w:r w:rsidRPr="00011A8E">
        <w:rPr>
          <w:b/>
          <w:bCs/>
          <w:lang w:val="lv-LV"/>
        </w:rPr>
        <w:t xml:space="preserve">Atsavināt </w:t>
      </w:r>
      <w:r w:rsidRPr="00011A8E">
        <w:rPr>
          <w:lang w:val="lv-LV"/>
        </w:rPr>
        <w:t xml:space="preserve">Ogres novada pašvaldībai piederošo zemes gabalu Pulkveža Brieža ielā 2B, Ogrē, Ogres nov., pārdodot to par cenu </w:t>
      </w:r>
      <w:r w:rsidRPr="00011A8E">
        <w:rPr>
          <w:b/>
          <w:bCs/>
          <w:lang w:val="lv-LV"/>
        </w:rPr>
        <w:t xml:space="preserve">EUR 2950,00 </w:t>
      </w:r>
      <w:r w:rsidRPr="00011A8E">
        <w:rPr>
          <w:lang w:val="lv-LV"/>
        </w:rPr>
        <w:t xml:space="preserve">(divi tūkstoši deviņi simti piecdesmit </w:t>
      </w:r>
      <w:r w:rsidRPr="00AA041A">
        <w:rPr>
          <w:i/>
          <w:lang w:val="lv-LV"/>
        </w:rPr>
        <w:t>euro</w:t>
      </w:r>
      <w:r w:rsidRPr="00011A8E">
        <w:rPr>
          <w:lang w:val="lv-LV"/>
        </w:rPr>
        <w:t xml:space="preserve"> un 00 centi) SIA „Latvijas mobilais Telefons”, Reģ.Nr.50003050931.</w:t>
      </w:r>
    </w:p>
    <w:p w:rsidR="003A7A09" w:rsidRPr="00011A8E" w:rsidRDefault="003A7A09" w:rsidP="003A7A09">
      <w:pPr>
        <w:numPr>
          <w:ilvl w:val="0"/>
          <w:numId w:val="2"/>
        </w:numPr>
        <w:jc w:val="both"/>
        <w:rPr>
          <w:lang w:val="lv-LV"/>
        </w:rPr>
      </w:pPr>
      <w:r w:rsidRPr="00011A8E">
        <w:rPr>
          <w:b/>
          <w:bCs/>
          <w:lang w:val="lv-LV"/>
        </w:rPr>
        <w:t xml:space="preserve">Uzdot </w:t>
      </w:r>
      <w:r w:rsidRPr="00011A8E">
        <w:rPr>
          <w:lang w:val="lv-LV"/>
        </w:rPr>
        <w:t>Ogres novada domes juridiskajai nodaļai pēc šī lēmuma pieņemšanas sagatavot zemes gabala Pulkveža Brieža ielā 2B, Ogrē, Ogres nov.,</w:t>
      </w:r>
      <w:bookmarkStart w:id="0" w:name="_GoBack"/>
      <w:bookmarkEnd w:id="0"/>
      <w:r w:rsidRPr="00011A8E">
        <w:rPr>
          <w:lang w:val="lv-LV"/>
        </w:rPr>
        <w:t xml:space="preserve"> pirkuma līgumu un organizēt tā noslēgšanu.</w:t>
      </w:r>
    </w:p>
    <w:p w:rsidR="003A7A09" w:rsidRPr="00011A8E" w:rsidRDefault="003A7A09" w:rsidP="003A7A09">
      <w:pPr>
        <w:pStyle w:val="Paraststmeklis"/>
        <w:numPr>
          <w:ilvl w:val="0"/>
          <w:numId w:val="2"/>
        </w:numPr>
        <w:jc w:val="both"/>
        <w:rPr>
          <w:b/>
        </w:rPr>
      </w:pPr>
      <w:r w:rsidRPr="00011A8E">
        <w:rPr>
          <w:b/>
        </w:rPr>
        <w:t xml:space="preserve">Kontroli </w:t>
      </w:r>
      <w:r w:rsidRPr="00011A8E">
        <w:t>par lēmuma izpildi uzdot pašvaldības izpilddirektoram.</w:t>
      </w:r>
    </w:p>
    <w:p w:rsidR="003A7A09" w:rsidRDefault="003A7A09" w:rsidP="003A7A09">
      <w:pPr>
        <w:rPr>
          <w:i/>
          <w:iCs/>
          <w:lang w:val="lv-LV"/>
        </w:rPr>
      </w:pPr>
    </w:p>
    <w:p w:rsidR="003A7A09" w:rsidRPr="00011A8E" w:rsidRDefault="003A7A09" w:rsidP="003A7A09">
      <w:pPr>
        <w:rPr>
          <w:i/>
          <w:iCs/>
          <w:lang w:val="lv-LV"/>
        </w:rPr>
      </w:pPr>
    </w:p>
    <w:p w:rsidR="003A7A09" w:rsidRDefault="003A7A09" w:rsidP="003A7A09">
      <w:pPr>
        <w:rPr>
          <w:i/>
          <w:iCs/>
          <w:lang w:val="lv-LV"/>
        </w:rPr>
      </w:pPr>
      <w:r w:rsidRPr="00011A8E">
        <w:rPr>
          <w:i/>
          <w:iCs/>
          <w:lang w:val="lv-LV"/>
        </w:rPr>
        <w:t xml:space="preserve">Lēmums stājas spēkā ar </w:t>
      </w:r>
      <w:r>
        <w:rPr>
          <w:i/>
          <w:iCs/>
          <w:lang w:val="lv-LV"/>
        </w:rPr>
        <w:t>19.12.2014.</w:t>
      </w:r>
    </w:p>
    <w:p w:rsidR="003A7A09" w:rsidRDefault="003A7A09" w:rsidP="003A7A09">
      <w:pPr>
        <w:rPr>
          <w:i/>
          <w:iCs/>
          <w:lang w:val="lv-LV"/>
        </w:rPr>
      </w:pPr>
    </w:p>
    <w:p w:rsidR="00E43B63" w:rsidRDefault="00E43B63"/>
    <w:sectPr w:rsidR="00E43B63" w:rsidSect="00011A8E">
      <w:footerReference w:type="even" r:id="rId5"/>
      <w:footerReference w:type="default" r:id="rId6"/>
      <w:pgSz w:w="11906" w:h="16838"/>
      <w:pgMar w:top="1134" w:right="1134"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1D" w:rsidRDefault="003A7A09" w:rsidP="005866F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E241D" w:rsidRDefault="003A7A09">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1D" w:rsidRDefault="003A7A09" w:rsidP="005866F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rsidR="006E241D" w:rsidRDefault="003A7A09">
    <w:pPr>
      <w:pStyle w:val="Kjen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712D2"/>
    <w:multiLevelType w:val="hybridMultilevel"/>
    <w:tmpl w:val="F3965B86"/>
    <w:lvl w:ilvl="0" w:tplc="A276F094">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B5765FB"/>
    <w:multiLevelType w:val="hybridMultilevel"/>
    <w:tmpl w:val="0BBA38D4"/>
    <w:lvl w:ilvl="0" w:tplc="6C66259E">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09"/>
    <w:rsid w:val="003A7A09"/>
    <w:rsid w:val="00E43B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F7545-01CE-4512-813F-6DF12FAD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A7A09"/>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3A7A09"/>
    <w:pPr>
      <w:keepNext/>
      <w:ind w:left="-142"/>
      <w:jc w:val="center"/>
      <w:outlineLvl w:val="0"/>
    </w:pPr>
    <w:rPr>
      <w:b/>
      <w:szCs w:val="20"/>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A7A09"/>
    <w:rPr>
      <w:rFonts w:ascii="Times New Roman" w:eastAsia="Times New Roman" w:hAnsi="Times New Roman" w:cs="Times New Roman"/>
      <w:b/>
      <w:sz w:val="24"/>
      <w:szCs w:val="20"/>
      <w:u w:val="single"/>
    </w:rPr>
  </w:style>
  <w:style w:type="paragraph" w:styleId="Pamattekstaatkpe2">
    <w:name w:val="Body Text Indent 2"/>
    <w:basedOn w:val="Parasts"/>
    <w:link w:val="Pamattekstaatkpe2Rakstz"/>
    <w:semiHidden/>
    <w:rsid w:val="003A7A09"/>
    <w:pPr>
      <w:ind w:left="-142"/>
      <w:jc w:val="both"/>
    </w:pPr>
    <w:rPr>
      <w:szCs w:val="20"/>
      <w:lang w:val="lv-LV"/>
    </w:rPr>
  </w:style>
  <w:style w:type="character" w:customStyle="1" w:styleId="Pamattekstaatkpe2Rakstz">
    <w:name w:val="Pamatteksta atkāpe 2 Rakstz."/>
    <w:basedOn w:val="Noklusjumarindkopasfonts"/>
    <w:link w:val="Pamattekstaatkpe2"/>
    <w:semiHidden/>
    <w:rsid w:val="003A7A09"/>
    <w:rPr>
      <w:rFonts w:ascii="Times New Roman" w:eastAsia="Times New Roman" w:hAnsi="Times New Roman" w:cs="Times New Roman"/>
      <w:sz w:val="24"/>
      <w:szCs w:val="20"/>
    </w:rPr>
  </w:style>
  <w:style w:type="paragraph" w:styleId="Pamattekstsaratkpi">
    <w:name w:val="Body Text Indent"/>
    <w:basedOn w:val="Parasts"/>
    <w:link w:val="PamattekstsaratkpiRakstz"/>
    <w:semiHidden/>
    <w:rsid w:val="003A7A09"/>
    <w:pPr>
      <w:ind w:left="720" w:hanging="720"/>
      <w:jc w:val="both"/>
    </w:pPr>
    <w:rPr>
      <w:lang w:val="lv-LV"/>
    </w:rPr>
  </w:style>
  <w:style w:type="character" w:customStyle="1" w:styleId="PamattekstsaratkpiRakstz">
    <w:name w:val="Pamatteksts ar atkāpi Rakstz."/>
    <w:basedOn w:val="Noklusjumarindkopasfonts"/>
    <w:link w:val="Pamattekstsaratkpi"/>
    <w:semiHidden/>
    <w:rsid w:val="003A7A09"/>
    <w:rPr>
      <w:rFonts w:ascii="Times New Roman" w:eastAsia="Times New Roman" w:hAnsi="Times New Roman" w:cs="Times New Roman"/>
      <w:sz w:val="24"/>
      <w:szCs w:val="24"/>
    </w:rPr>
  </w:style>
  <w:style w:type="paragraph" w:styleId="Paraststmeklis">
    <w:name w:val="Normal (Web)"/>
    <w:aliases w:val="Normal (Web) Char Char Char Char Char,Normal (Web) Char Char Char Char"/>
    <w:basedOn w:val="Parasts"/>
    <w:rsid w:val="003A7A09"/>
    <w:pPr>
      <w:spacing w:before="100" w:beforeAutospacing="1" w:after="100" w:afterAutospacing="1"/>
    </w:pPr>
    <w:rPr>
      <w:lang w:val="lv-LV" w:eastAsia="lv-LV"/>
    </w:rPr>
  </w:style>
  <w:style w:type="paragraph" w:styleId="Pamatteksts">
    <w:name w:val="Body Text"/>
    <w:basedOn w:val="Parasts"/>
    <w:link w:val="PamattekstsRakstz"/>
    <w:semiHidden/>
    <w:rsid w:val="003A7A09"/>
    <w:pPr>
      <w:jc w:val="both"/>
    </w:pPr>
    <w:rPr>
      <w:lang w:val="lv-LV"/>
    </w:rPr>
  </w:style>
  <w:style w:type="character" w:customStyle="1" w:styleId="PamattekstsRakstz">
    <w:name w:val="Pamatteksts Rakstz."/>
    <w:basedOn w:val="Noklusjumarindkopasfonts"/>
    <w:link w:val="Pamatteksts"/>
    <w:semiHidden/>
    <w:rsid w:val="003A7A09"/>
    <w:rPr>
      <w:rFonts w:ascii="Times New Roman" w:eastAsia="Times New Roman" w:hAnsi="Times New Roman" w:cs="Times New Roman"/>
      <w:sz w:val="24"/>
      <w:szCs w:val="24"/>
    </w:rPr>
  </w:style>
  <w:style w:type="paragraph" w:styleId="Kjene">
    <w:name w:val="footer"/>
    <w:basedOn w:val="Parasts"/>
    <w:link w:val="KjeneRakstz"/>
    <w:semiHidden/>
    <w:rsid w:val="003A7A09"/>
    <w:pPr>
      <w:tabs>
        <w:tab w:val="center" w:pos="4153"/>
        <w:tab w:val="right" w:pos="8306"/>
      </w:tabs>
    </w:pPr>
    <w:rPr>
      <w:lang w:val="lv-LV"/>
    </w:rPr>
  </w:style>
  <w:style w:type="character" w:customStyle="1" w:styleId="KjeneRakstz">
    <w:name w:val="Kājene Rakstz."/>
    <w:basedOn w:val="Noklusjumarindkopasfonts"/>
    <w:link w:val="Kjene"/>
    <w:semiHidden/>
    <w:rsid w:val="003A7A09"/>
    <w:rPr>
      <w:rFonts w:ascii="Times New Roman" w:eastAsia="Times New Roman" w:hAnsi="Times New Roman" w:cs="Times New Roman"/>
      <w:sz w:val="24"/>
      <w:szCs w:val="24"/>
    </w:rPr>
  </w:style>
  <w:style w:type="paragraph" w:customStyle="1" w:styleId="naisf">
    <w:name w:val="naisf"/>
    <w:basedOn w:val="Parasts"/>
    <w:rsid w:val="003A7A09"/>
    <w:pPr>
      <w:spacing w:before="75" w:after="75"/>
      <w:ind w:firstLine="375"/>
      <w:jc w:val="both"/>
    </w:pPr>
    <w:rPr>
      <w:lang w:val="lv-LV" w:eastAsia="lv-LV"/>
    </w:rPr>
  </w:style>
  <w:style w:type="character" w:styleId="Lappusesnumurs">
    <w:name w:val="page number"/>
    <w:basedOn w:val="Noklusjumarindkopasfonts"/>
    <w:rsid w:val="003A7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3192</Words>
  <Characters>1820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2014-12-29T15:48:00Z</dcterms:created>
  <dcterms:modified xsi:type="dcterms:W3CDTF">2014-12-29T15:49:00Z</dcterms:modified>
</cp:coreProperties>
</file>